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65DB2">
      <w:pPr>
        <w:pStyle w:val="5"/>
      </w:pPr>
      <w:r>
        <w:rPr>
          <w:rFonts w:hint="eastAsia"/>
        </w:rPr>
        <w:t>附：评分依据</w:t>
      </w:r>
    </w:p>
    <w:tbl>
      <w:tblPr>
        <w:tblStyle w:val="3"/>
        <w:tblW w:w="9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6103"/>
        <w:gridCol w:w="1252"/>
      </w:tblGrid>
      <w:tr w14:paraId="28D4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vAlign w:val="center"/>
          </w:tcPr>
          <w:p w14:paraId="54D63CC0">
            <w:pPr>
              <w:widowControl/>
              <w:jc w:val="center"/>
              <w:rPr>
                <w:rFonts w:ascii="宋体" w:hAnsi="宋体"/>
                <w:bCs/>
                <w:kern w:val="0"/>
                <w:szCs w:val="21"/>
              </w:rPr>
            </w:pPr>
            <w:r>
              <w:rPr>
                <w:rFonts w:hint="eastAsia" w:ascii="宋体" w:hAnsi="宋体"/>
                <w:bCs/>
                <w:kern w:val="0"/>
                <w:szCs w:val="21"/>
              </w:rPr>
              <w:t>序号</w:t>
            </w:r>
          </w:p>
        </w:tc>
        <w:tc>
          <w:tcPr>
            <w:tcW w:w="1701" w:type="dxa"/>
            <w:vAlign w:val="center"/>
          </w:tcPr>
          <w:p w14:paraId="4E91C4E2">
            <w:pPr>
              <w:widowControl/>
              <w:jc w:val="center"/>
              <w:rPr>
                <w:rFonts w:ascii="宋体" w:hAnsi="宋体"/>
                <w:bCs/>
                <w:kern w:val="0"/>
                <w:szCs w:val="21"/>
              </w:rPr>
            </w:pPr>
            <w:r>
              <w:rPr>
                <w:rFonts w:hint="eastAsia" w:ascii="宋体" w:hAnsi="宋体"/>
                <w:bCs/>
                <w:kern w:val="0"/>
                <w:szCs w:val="21"/>
              </w:rPr>
              <w:t>项目</w:t>
            </w:r>
          </w:p>
        </w:tc>
        <w:tc>
          <w:tcPr>
            <w:tcW w:w="6103" w:type="dxa"/>
            <w:vAlign w:val="center"/>
          </w:tcPr>
          <w:p w14:paraId="34539021">
            <w:pPr>
              <w:widowControl/>
              <w:jc w:val="center"/>
              <w:rPr>
                <w:rFonts w:ascii="宋体" w:hAnsi="宋体"/>
                <w:bCs/>
                <w:kern w:val="0"/>
                <w:szCs w:val="21"/>
              </w:rPr>
            </w:pPr>
            <w:r>
              <w:rPr>
                <w:rFonts w:hint="eastAsia" w:ascii="宋体" w:hAnsi="宋体"/>
                <w:bCs/>
                <w:kern w:val="0"/>
                <w:szCs w:val="21"/>
              </w:rPr>
              <w:t>评分内容</w:t>
            </w:r>
          </w:p>
        </w:tc>
        <w:tc>
          <w:tcPr>
            <w:tcW w:w="1252" w:type="dxa"/>
            <w:vAlign w:val="center"/>
          </w:tcPr>
          <w:p w14:paraId="3175F6D5">
            <w:pPr>
              <w:widowControl/>
              <w:jc w:val="center"/>
              <w:rPr>
                <w:rFonts w:ascii="宋体" w:hAnsi="宋体" w:cs="宋体"/>
                <w:kern w:val="0"/>
                <w:szCs w:val="21"/>
              </w:rPr>
            </w:pPr>
            <w:r>
              <w:rPr>
                <w:rFonts w:hint="eastAsia" w:ascii="宋体" w:hAnsi="宋体" w:cs="宋体"/>
                <w:kern w:val="0"/>
                <w:szCs w:val="21"/>
              </w:rPr>
              <w:t>分值</w:t>
            </w:r>
          </w:p>
        </w:tc>
      </w:tr>
      <w:tr w14:paraId="588E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9" w:type="dxa"/>
            <w:vAlign w:val="center"/>
          </w:tcPr>
          <w:p w14:paraId="37C22749">
            <w:pPr>
              <w:widowControl/>
              <w:jc w:val="center"/>
              <w:rPr>
                <w:rFonts w:ascii="宋体" w:hAnsi="宋体"/>
                <w:bCs/>
                <w:kern w:val="0"/>
                <w:szCs w:val="21"/>
              </w:rPr>
            </w:pPr>
            <w:r>
              <w:rPr>
                <w:rFonts w:hint="eastAsia" w:ascii="宋体" w:hAnsi="宋体"/>
                <w:bCs/>
                <w:kern w:val="0"/>
                <w:szCs w:val="21"/>
              </w:rPr>
              <w:t>1</w:t>
            </w:r>
          </w:p>
        </w:tc>
        <w:tc>
          <w:tcPr>
            <w:tcW w:w="1701" w:type="dxa"/>
            <w:vAlign w:val="center"/>
          </w:tcPr>
          <w:p w14:paraId="2EB4500A">
            <w:pPr>
              <w:widowControl/>
              <w:jc w:val="center"/>
              <w:rPr>
                <w:rFonts w:ascii="宋体" w:hAnsi="宋体"/>
                <w:bCs/>
                <w:kern w:val="0"/>
                <w:szCs w:val="21"/>
              </w:rPr>
            </w:pPr>
            <w:r>
              <w:rPr>
                <w:rFonts w:hint="eastAsia" w:ascii="宋体" w:hAnsi="宋体"/>
                <w:bCs/>
                <w:kern w:val="0"/>
                <w:szCs w:val="21"/>
              </w:rPr>
              <w:t>商务得分</w:t>
            </w:r>
          </w:p>
        </w:tc>
        <w:tc>
          <w:tcPr>
            <w:tcW w:w="6103" w:type="dxa"/>
            <w:vAlign w:val="center"/>
          </w:tcPr>
          <w:p w14:paraId="48224F7E">
            <w:pPr>
              <w:rPr>
                <w:rFonts w:ascii="宋体" w:hAnsi="宋体"/>
                <w:bCs/>
                <w:kern w:val="0"/>
                <w:szCs w:val="21"/>
              </w:rPr>
            </w:pPr>
            <w:r>
              <w:rPr>
                <w:rFonts w:hint="eastAsia" w:ascii="宋体" w:hAnsi="宋体"/>
                <w:bCs/>
                <w:kern w:val="0"/>
                <w:szCs w:val="21"/>
              </w:rPr>
              <w:t>1、综合评分法中的价格分统一采用低价优先法计算，即满足比选文件要求且报价价格最低的报价为评审基准价，其价格分为满分3</w:t>
            </w:r>
            <w:r>
              <w:rPr>
                <w:rFonts w:ascii="宋体" w:hAnsi="宋体"/>
                <w:bCs/>
                <w:kern w:val="0"/>
                <w:szCs w:val="21"/>
              </w:rPr>
              <w:t>0</w:t>
            </w:r>
            <w:r>
              <w:rPr>
                <w:rFonts w:hint="eastAsia" w:ascii="宋体" w:hAnsi="宋体"/>
                <w:bCs/>
                <w:kern w:val="0"/>
                <w:szCs w:val="21"/>
              </w:rPr>
              <w:t>分。</w:t>
            </w:r>
          </w:p>
          <w:p w14:paraId="40FA6A4E">
            <w:pPr>
              <w:rPr>
                <w:rFonts w:ascii="宋体" w:hAnsi="宋体"/>
                <w:bCs/>
                <w:kern w:val="0"/>
                <w:szCs w:val="21"/>
              </w:rPr>
            </w:pPr>
            <w:r>
              <w:rPr>
                <w:rFonts w:hint="eastAsia" w:ascii="宋体" w:hAnsi="宋体"/>
                <w:bCs/>
                <w:kern w:val="0"/>
                <w:szCs w:val="21"/>
              </w:rPr>
              <w:t>2、其他报价单位的报价得分计算公式如下：</w:t>
            </w:r>
          </w:p>
          <w:p w14:paraId="0A449698">
            <w:pPr>
              <w:widowControl/>
              <w:jc w:val="left"/>
              <w:rPr>
                <w:rFonts w:ascii="宋体" w:hAnsi="宋体"/>
                <w:bCs/>
                <w:kern w:val="0"/>
                <w:szCs w:val="21"/>
              </w:rPr>
            </w:pPr>
            <w:r>
              <w:rPr>
                <w:rFonts w:hint="eastAsia" w:ascii="宋体" w:hAnsi="宋体"/>
                <w:bCs/>
                <w:kern w:val="0"/>
                <w:szCs w:val="21"/>
              </w:rPr>
              <w:t>报价得分=(评审基准价／报价)×3</w:t>
            </w:r>
            <w:r>
              <w:rPr>
                <w:rFonts w:ascii="宋体" w:hAnsi="宋体"/>
                <w:bCs/>
                <w:kern w:val="0"/>
                <w:szCs w:val="21"/>
              </w:rPr>
              <w:t>0</w:t>
            </w:r>
          </w:p>
        </w:tc>
        <w:tc>
          <w:tcPr>
            <w:tcW w:w="1252" w:type="dxa"/>
            <w:vAlign w:val="center"/>
          </w:tcPr>
          <w:p w14:paraId="7BFB883A">
            <w:pPr>
              <w:jc w:val="center"/>
              <w:rPr>
                <w:rFonts w:ascii="宋体" w:hAnsi="宋体"/>
                <w:szCs w:val="21"/>
              </w:rPr>
            </w:pPr>
            <w:r>
              <w:rPr>
                <w:rFonts w:hint="eastAsia" w:ascii="宋体" w:hAnsi="宋体"/>
                <w:szCs w:val="21"/>
              </w:rPr>
              <w:t>30</w:t>
            </w:r>
          </w:p>
        </w:tc>
      </w:tr>
      <w:tr w14:paraId="28D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9" w:type="dxa"/>
            <w:vAlign w:val="center"/>
          </w:tcPr>
          <w:p w14:paraId="4A69711E">
            <w:pPr>
              <w:widowControl/>
              <w:jc w:val="center"/>
              <w:rPr>
                <w:rFonts w:ascii="宋体" w:hAnsi="宋体"/>
                <w:bCs/>
                <w:kern w:val="0"/>
                <w:szCs w:val="21"/>
              </w:rPr>
            </w:pPr>
            <w:r>
              <w:rPr>
                <w:rFonts w:hint="eastAsia" w:ascii="宋体" w:hAnsi="宋体"/>
                <w:bCs/>
                <w:kern w:val="0"/>
                <w:szCs w:val="21"/>
              </w:rPr>
              <w:t>2</w:t>
            </w:r>
          </w:p>
        </w:tc>
        <w:tc>
          <w:tcPr>
            <w:tcW w:w="1701" w:type="dxa"/>
            <w:vAlign w:val="center"/>
          </w:tcPr>
          <w:p w14:paraId="16C294D6">
            <w:pPr>
              <w:widowControl/>
              <w:jc w:val="center"/>
              <w:rPr>
                <w:rFonts w:ascii="宋体" w:hAnsi="宋体"/>
                <w:bCs/>
                <w:kern w:val="0"/>
                <w:szCs w:val="21"/>
              </w:rPr>
            </w:pPr>
            <w:r>
              <w:rPr>
                <w:rFonts w:hint="eastAsia" w:ascii="宋体" w:hAnsi="宋体"/>
                <w:szCs w:val="21"/>
              </w:rPr>
              <w:t>经验业绩</w:t>
            </w:r>
          </w:p>
        </w:tc>
        <w:tc>
          <w:tcPr>
            <w:tcW w:w="6103" w:type="dxa"/>
            <w:vAlign w:val="center"/>
          </w:tcPr>
          <w:p w14:paraId="3F1E65D2">
            <w:pPr>
              <w:adjustRightInd w:val="0"/>
              <w:textAlignment w:val="baseline"/>
              <w:rPr>
                <w:rFonts w:ascii="宋体" w:hAnsi="宋体"/>
                <w:kern w:val="0"/>
                <w:szCs w:val="21"/>
              </w:rPr>
            </w:pPr>
            <w:r>
              <w:rPr>
                <w:rFonts w:hint="eastAsia" w:ascii="宋体" w:hAnsi="宋体"/>
                <w:kern w:val="0"/>
                <w:szCs w:val="21"/>
              </w:rPr>
              <w:t>根据各投标人提供的近五年（2021年7月1日-至今）（以合同签订日期为准）类似项目经验情况进行综合评分（每提供1个得2分；最高得10分）。</w:t>
            </w:r>
          </w:p>
          <w:p w14:paraId="452252E7">
            <w:pPr>
              <w:widowControl/>
              <w:jc w:val="left"/>
              <w:rPr>
                <w:rFonts w:ascii="宋体" w:hAnsi="宋体"/>
                <w:bCs/>
                <w:kern w:val="0"/>
                <w:szCs w:val="21"/>
              </w:rPr>
            </w:pPr>
            <w:r>
              <w:rPr>
                <w:rFonts w:hint="eastAsia" w:ascii="宋体" w:hAnsi="宋体"/>
                <w:kern w:val="0"/>
                <w:szCs w:val="21"/>
              </w:rPr>
              <w:t>类似业绩是指：投标人近五年以来承接的类似项目业绩。是否属于有效的类似项目业绩由评标委员会根据投标人提供的业绩的业务内容、技术特点等方面与本项目的类似程度进行认定。需提供相关业绩的合同扫描件，扫描件中需体现合同的签约主体、项目名称及内容等合同要素的相关内容，否则将不予认可。</w:t>
            </w:r>
          </w:p>
        </w:tc>
        <w:tc>
          <w:tcPr>
            <w:tcW w:w="1252" w:type="dxa"/>
            <w:vAlign w:val="center"/>
          </w:tcPr>
          <w:p w14:paraId="00E2E969">
            <w:pPr>
              <w:jc w:val="center"/>
              <w:rPr>
                <w:rFonts w:ascii="宋体" w:hAnsi="宋体"/>
                <w:szCs w:val="21"/>
              </w:rPr>
            </w:pPr>
            <w:r>
              <w:rPr>
                <w:rFonts w:hint="eastAsia" w:ascii="宋体" w:hAnsi="宋体"/>
                <w:szCs w:val="21"/>
              </w:rPr>
              <w:t>10</w:t>
            </w:r>
          </w:p>
        </w:tc>
      </w:tr>
      <w:tr w14:paraId="165C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9" w:type="dxa"/>
            <w:vAlign w:val="center"/>
          </w:tcPr>
          <w:p w14:paraId="13C08685">
            <w:pPr>
              <w:widowControl/>
              <w:jc w:val="center"/>
              <w:rPr>
                <w:rFonts w:ascii="宋体" w:hAnsi="宋体"/>
                <w:bCs/>
                <w:kern w:val="0"/>
                <w:szCs w:val="21"/>
              </w:rPr>
            </w:pPr>
            <w:r>
              <w:rPr>
                <w:rFonts w:hint="eastAsia" w:ascii="宋体" w:hAnsi="宋体"/>
                <w:bCs/>
                <w:kern w:val="0"/>
                <w:szCs w:val="21"/>
              </w:rPr>
              <w:t>3</w:t>
            </w:r>
          </w:p>
        </w:tc>
        <w:tc>
          <w:tcPr>
            <w:tcW w:w="1701" w:type="dxa"/>
            <w:vAlign w:val="center"/>
          </w:tcPr>
          <w:p w14:paraId="2710FA6E">
            <w:pPr>
              <w:widowControl/>
              <w:jc w:val="center"/>
              <w:rPr>
                <w:rFonts w:ascii="宋体" w:hAnsi="宋体"/>
                <w:snapToGrid w:val="0"/>
                <w:kern w:val="0"/>
                <w:szCs w:val="21"/>
              </w:rPr>
            </w:pPr>
            <w:r>
              <w:rPr>
                <w:rFonts w:hint="eastAsia" w:ascii="宋体" w:hAnsi="宋体"/>
                <w:snapToGrid w:val="0"/>
                <w:kern w:val="0"/>
                <w:szCs w:val="21"/>
              </w:rPr>
              <w:t>技术方案</w:t>
            </w:r>
          </w:p>
        </w:tc>
        <w:tc>
          <w:tcPr>
            <w:tcW w:w="6103" w:type="dxa"/>
            <w:vAlign w:val="center"/>
          </w:tcPr>
          <w:p w14:paraId="5CFD6BE1">
            <w:pPr>
              <w:widowControl/>
              <w:jc w:val="left"/>
              <w:rPr>
                <w:rFonts w:ascii="宋体" w:hAnsi="宋体" w:cs="宋体"/>
                <w:kern w:val="0"/>
                <w:szCs w:val="21"/>
              </w:rPr>
            </w:pPr>
            <w:r>
              <w:rPr>
                <w:rFonts w:hint="eastAsia" w:ascii="宋体" w:hAnsi="宋体" w:cs="宋体"/>
                <w:kern w:val="0"/>
                <w:szCs w:val="21"/>
              </w:rPr>
              <w:t>根据各供应商提供的技术方案（包括但不限于方案的设计、描述、设备的组成、尺寸的合理性、指标的先进性、设备安全性、易用性、个性化定制灵活性等）内容进行综合评审：</w:t>
            </w:r>
          </w:p>
          <w:p w14:paraId="18287675">
            <w:pPr>
              <w:widowControl/>
              <w:jc w:val="left"/>
              <w:rPr>
                <w:rFonts w:ascii="宋体" w:hAnsi="宋体" w:cs="宋体"/>
                <w:kern w:val="0"/>
                <w:szCs w:val="21"/>
              </w:rPr>
            </w:pPr>
            <w:r>
              <w:rPr>
                <w:rFonts w:hint="eastAsia" w:ascii="宋体" w:hAnsi="宋体" w:cs="宋体"/>
                <w:kern w:val="0"/>
                <w:szCs w:val="21"/>
              </w:rPr>
              <w:t>（1）技术方案与本项目需求的吻合程度较高，具有较好的科学性、合理性、先进性，案完整、合理、思路清晰，能够充分满足本项目关于产品质量、工作流程等细节的具体要求，并且技术方案已充分考虑用户的日常用途和需求的得5-6分；</w:t>
            </w:r>
          </w:p>
          <w:p w14:paraId="1766FF20">
            <w:pPr>
              <w:widowControl/>
              <w:jc w:val="left"/>
              <w:rPr>
                <w:rFonts w:ascii="宋体" w:hAnsi="宋体" w:cs="宋体"/>
                <w:kern w:val="0"/>
                <w:szCs w:val="21"/>
              </w:rPr>
            </w:pPr>
            <w:r>
              <w:rPr>
                <w:rFonts w:hint="eastAsia" w:ascii="宋体" w:hAnsi="宋体" w:cs="宋体"/>
                <w:kern w:val="0"/>
                <w:szCs w:val="21"/>
              </w:rPr>
              <w:t>（2）技术方案与本项目需求有一定的吻合度，方案体现出一定的科学性、合理性、先进性，方案基本完整、合理、能够基本满足本项目关于产品质量、工作流程等细节的具体要求，并且技术方案显示已考虑到用户的日常用途和需求但存在部分欠缺的得3-4分；</w:t>
            </w:r>
          </w:p>
          <w:p w14:paraId="3CE1567F">
            <w:pPr>
              <w:widowControl/>
              <w:jc w:val="left"/>
              <w:rPr>
                <w:rFonts w:ascii="宋体" w:hAnsi="宋体" w:cs="宋体"/>
                <w:kern w:val="0"/>
                <w:szCs w:val="21"/>
              </w:rPr>
            </w:pPr>
            <w:r>
              <w:rPr>
                <w:rFonts w:hint="eastAsia" w:ascii="宋体" w:hAnsi="宋体" w:cs="宋体"/>
                <w:kern w:val="0"/>
                <w:szCs w:val="21"/>
              </w:rPr>
              <w:t>（3）技术方案与本项目需求吻合度较差，方案未明显体现出科学性与先进性，针对用户的日常用途和需求所提合理性建议较少，方案能部分满足本项目关于服务质量、工作流程等细节的具体要求的得0-2分。</w:t>
            </w:r>
          </w:p>
        </w:tc>
        <w:tc>
          <w:tcPr>
            <w:tcW w:w="1252" w:type="dxa"/>
            <w:vAlign w:val="center"/>
          </w:tcPr>
          <w:p w14:paraId="7F906747">
            <w:pPr>
              <w:jc w:val="center"/>
              <w:rPr>
                <w:rFonts w:ascii="宋体" w:hAnsi="宋体"/>
                <w:szCs w:val="21"/>
              </w:rPr>
            </w:pPr>
            <w:r>
              <w:rPr>
                <w:rFonts w:hint="eastAsia" w:ascii="宋体" w:hAnsi="宋体"/>
                <w:szCs w:val="21"/>
              </w:rPr>
              <w:t>6</w:t>
            </w:r>
          </w:p>
        </w:tc>
      </w:tr>
      <w:tr w14:paraId="2478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9" w:type="dxa"/>
            <w:vMerge w:val="restart"/>
            <w:vAlign w:val="center"/>
          </w:tcPr>
          <w:p w14:paraId="2F38C124">
            <w:pPr>
              <w:widowControl/>
              <w:jc w:val="center"/>
              <w:rPr>
                <w:rFonts w:ascii="宋体" w:hAnsi="宋体"/>
                <w:bCs/>
                <w:kern w:val="0"/>
                <w:szCs w:val="21"/>
              </w:rPr>
            </w:pPr>
            <w:r>
              <w:rPr>
                <w:rFonts w:hint="eastAsia" w:ascii="宋体" w:hAnsi="宋体"/>
                <w:bCs/>
                <w:kern w:val="0"/>
                <w:szCs w:val="21"/>
              </w:rPr>
              <w:t>4</w:t>
            </w:r>
          </w:p>
        </w:tc>
        <w:tc>
          <w:tcPr>
            <w:tcW w:w="1701" w:type="dxa"/>
            <w:vMerge w:val="restart"/>
            <w:vAlign w:val="center"/>
          </w:tcPr>
          <w:p w14:paraId="4D7C527D">
            <w:pPr>
              <w:widowControl/>
              <w:jc w:val="center"/>
              <w:rPr>
                <w:rFonts w:ascii="宋体" w:hAnsi="宋体"/>
                <w:snapToGrid w:val="0"/>
                <w:kern w:val="0"/>
                <w:szCs w:val="21"/>
              </w:rPr>
            </w:pPr>
            <w:r>
              <w:rPr>
                <w:rFonts w:hint="eastAsia" w:ascii="宋体" w:hAnsi="宋体"/>
                <w:szCs w:val="21"/>
              </w:rPr>
              <w:t>功能指标</w:t>
            </w:r>
          </w:p>
        </w:tc>
        <w:tc>
          <w:tcPr>
            <w:tcW w:w="6103" w:type="dxa"/>
            <w:vAlign w:val="center"/>
          </w:tcPr>
          <w:p w14:paraId="0E0DC03C">
            <w:pPr>
              <w:spacing w:line="280" w:lineRule="exact"/>
              <w:rPr>
                <w:rFonts w:ascii="宋体" w:hAnsi="宋体" w:cs="宋体"/>
                <w:kern w:val="0"/>
                <w:szCs w:val="21"/>
              </w:rPr>
            </w:pPr>
            <w:r>
              <w:rPr>
                <w:rFonts w:hint="eastAsia" w:ascii="宋体" w:hAnsi="宋体" w:cs="宋体"/>
                <w:kern w:val="0"/>
                <w:szCs w:val="21"/>
              </w:rPr>
              <w:t>评审内容：一般技术参数：非“▲”条款。</w:t>
            </w:r>
          </w:p>
          <w:p w14:paraId="5149ACA8">
            <w:pPr>
              <w:spacing w:line="280" w:lineRule="exact"/>
              <w:rPr>
                <w:rFonts w:ascii="宋体" w:hAnsi="宋体" w:cs="宋体"/>
                <w:kern w:val="0"/>
                <w:szCs w:val="21"/>
              </w:rPr>
            </w:pPr>
            <w:r>
              <w:rPr>
                <w:rFonts w:hint="eastAsia" w:ascii="宋体" w:hAnsi="宋体" w:cs="宋体"/>
                <w:kern w:val="0"/>
                <w:szCs w:val="21"/>
              </w:rPr>
              <w:t>（1）一般技术参数全部满足采购文件技术需求且无负偏离的得7分；</w:t>
            </w:r>
          </w:p>
          <w:p w14:paraId="120495E0">
            <w:pPr>
              <w:spacing w:line="280" w:lineRule="exact"/>
              <w:rPr>
                <w:rFonts w:ascii="宋体" w:hAnsi="宋体" w:cs="宋体"/>
                <w:kern w:val="0"/>
                <w:szCs w:val="21"/>
              </w:rPr>
            </w:pPr>
            <w:r>
              <w:rPr>
                <w:rFonts w:hint="eastAsia" w:ascii="宋体" w:hAnsi="宋体" w:cs="宋体"/>
                <w:kern w:val="0"/>
                <w:szCs w:val="21"/>
              </w:rPr>
              <w:t>（2）有1-3项指标负偏离的得5分；</w:t>
            </w:r>
          </w:p>
          <w:p w14:paraId="7C340389">
            <w:pPr>
              <w:spacing w:line="280" w:lineRule="exact"/>
              <w:rPr>
                <w:rFonts w:ascii="宋体" w:hAnsi="宋体" w:cs="宋体"/>
                <w:kern w:val="0"/>
                <w:szCs w:val="21"/>
              </w:rPr>
            </w:pPr>
            <w:r>
              <w:rPr>
                <w:rFonts w:hint="eastAsia" w:ascii="宋体" w:hAnsi="宋体" w:cs="宋体"/>
                <w:kern w:val="0"/>
                <w:szCs w:val="21"/>
              </w:rPr>
              <w:t>（3）有3-5项指标负偏离的得3分；</w:t>
            </w:r>
          </w:p>
          <w:p w14:paraId="030A8128">
            <w:pPr>
              <w:rPr>
                <w:rFonts w:ascii="宋体" w:hAnsi="宋体" w:cs="宋体"/>
                <w:kern w:val="0"/>
                <w:szCs w:val="21"/>
              </w:rPr>
            </w:pPr>
            <w:r>
              <w:rPr>
                <w:rFonts w:hint="eastAsia" w:ascii="宋体" w:hAnsi="宋体" w:cs="宋体"/>
                <w:kern w:val="0"/>
                <w:szCs w:val="21"/>
              </w:rPr>
              <w:t>（4）有6项及以上指标负偏离的，此项得0分。</w:t>
            </w:r>
          </w:p>
        </w:tc>
        <w:tc>
          <w:tcPr>
            <w:tcW w:w="1252" w:type="dxa"/>
            <w:vAlign w:val="center"/>
          </w:tcPr>
          <w:p w14:paraId="48800C44">
            <w:pPr>
              <w:jc w:val="center"/>
              <w:rPr>
                <w:rFonts w:ascii="宋体" w:hAnsi="宋体"/>
                <w:szCs w:val="21"/>
              </w:rPr>
            </w:pPr>
            <w:r>
              <w:rPr>
                <w:rFonts w:hint="eastAsia" w:ascii="宋体" w:hAnsi="宋体"/>
                <w:szCs w:val="21"/>
              </w:rPr>
              <w:t>7</w:t>
            </w:r>
          </w:p>
        </w:tc>
      </w:tr>
      <w:tr w14:paraId="3DA0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9" w:type="dxa"/>
            <w:vMerge w:val="continue"/>
            <w:vAlign w:val="center"/>
          </w:tcPr>
          <w:p w14:paraId="3C74117E">
            <w:pPr>
              <w:widowControl/>
              <w:jc w:val="center"/>
              <w:rPr>
                <w:rFonts w:ascii="宋体" w:hAnsi="宋体"/>
                <w:bCs/>
                <w:kern w:val="0"/>
                <w:szCs w:val="21"/>
              </w:rPr>
            </w:pPr>
          </w:p>
        </w:tc>
        <w:tc>
          <w:tcPr>
            <w:tcW w:w="1701" w:type="dxa"/>
            <w:vMerge w:val="continue"/>
            <w:vAlign w:val="center"/>
          </w:tcPr>
          <w:p w14:paraId="7FDC0B9B">
            <w:pPr>
              <w:widowControl/>
              <w:jc w:val="center"/>
              <w:rPr>
                <w:rFonts w:ascii="宋体" w:hAnsi="宋体"/>
                <w:szCs w:val="21"/>
              </w:rPr>
            </w:pPr>
          </w:p>
        </w:tc>
        <w:tc>
          <w:tcPr>
            <w:tcW w:w="6103" w:type="dxa"/>
            <w:vAlign w:val="center"/>
          </w:tcPr>
          <w:p w14:paraId="216D4F8E">
            <w:pPr>
              <w:spacing w:line="280" w:lineRule="exact"/>
              <w:rPr>
                <w:rFonts w:ascii="宋体" w:hAnsi="宋体" w:cs="宋体"/>
                <w:kern w:val="0"/>
                <w:szCs w:val="21"/>
              </w:rPr>
            </w:pPr>
            <w:r>
              <w:rPr>
                <w:rFonts w:hint="eastAsia" w:ascii="宋体" w:hAnsi="宋体" w:cs="宋体"/>
                <w:kern w:val="0"/>
                <w:szCs w:val="21"/>
              </w:rPr>
              <w:t>评审内容：重要术参数：“▲”条款。</w:t>
            </w:r>
          </w:p>
          <w:p w14:paraId="1639F8CC">
            <w:pPr>
              <w:spacing w:line="280" w:lineRule="exact"/>
              <w:rPr>
                <w:rFonts w:ascii="宋体" w:hAnsi="宋体" w:cs="宋体"/>
                <w:kern w:val="0"/>
                <w:szCs w:val="21"/>
              </w:rPr>
            </w:pPr>
            <w:r>
              <w:rPr>
                <w:rFonts w:hint="eastAsia" w:ascii="宋体" w:hAnsi="宋体" w:cs="宋体"/>
                <w:kern w:val="0"/>
                <w:szCs w:val="21"/>
              </w:rPr>
              <w:t>（1）“▲”条款技术参数全部满足采购文件技术需求且无负偏离的得13分；</w:t>
            </w:r>
          </w:p>
          <w:p w14:paraId="2C4B66FE">
            <w:pPr>
              <w:spacing w:line="280" w:lineRule="exact"/>
              <w:rPr>
                <w:rFonts w:ascii="宋体" w:hAnsi="宋体" w:cs="宋体"/>
                <w:kern w:val="0"/>
                <w:szCs w:val="21"/>
              </w:rPr>
            </w:pPr>
            <w:r>
              <w:rPr>
                <w:rFonts w:hint="eastAsia" w:ascii="宋体" w:hAnsi="宋体" w:cs="宋体"/>
                <w:kern w:val="0"/>
                <w:szCs w:val="21"/>
              </w:rPr>
              <w:t>（2）有1-3项指标负偏离的得10分；</w:t>
            </w:r>
          </w:p>
          <w:p w14:paraId="14D80F22">
            <w:pPr>
              <w:spacing w:line="280" w:lineRule="exact"/>
              <w:rPr>
                <w:rFonts w:ascii="宋体" w:hAnsi="宋体" w:cs="宋体"/>
                <w:kern w:val="0"/>
                <w:szCs w:val="21"/>
              </w:rPr>
            </w:pPr>
            <w:r>
              <w:rPr>
                <w:rFonts w:hint="eastAsia" w:ascii="宋体" w:hAnsi="宋体" w:cs="宋体"/>
                <w:kern w:val="0"/>
                <w:szCs w:val="21"/>
              </w:rPr>
              <w:t>（3）有4-6项指标负偏离的得7分；</w:t>
            </w:r>
          </w:p>
          <w:p w14:paraId="2354E5C8">
            <w:pPr>
              <w:spacing w:line="280" w:lineRule="exact"/>
              <w:rPr>
                <w:rFonts w:ascii="宋体" w:hAnsi="宋体" w:cs="宋体"/>
                <w:kern w:val="0"/>
                <w:szCs w:val="21"/>
              </w:rPr>
            </w:pPr>
            <w:r>
              <w:rPr>
                <w:rFonts w:hint="eastAsia" w:ascii="宋体" w:hAnsi="宋体" w:cs="宋体"/>
                <w:kern w:val="0"/>
                <w:szCs w:val="21"/>
              </w:rPr>
              <w:t>（4）有7-9项指标负偏离的得4分；</w:t>
            </w:r>
          </w:p>
          <w:p w14:paraId="7FD1EB99">
            <w:pPr>
              <w:spacing w:line="280" w:lineRule="exact"/>
              <w:rPr>
                <w:rFonts w:ascii="宋体" w:hAnsi="宋体" w:cs="宋体"/>
                <w:kern w:val="0"/>
                <w:szCs w:val="21"/>
              </w:rPr>
            </w:pPr>
            <w:r>
              <w:rPr>
                <w:rFonts w:hint="eastAsia" w:ascii="宋体" w:hAnsi="宋体" w:cs="宋体"/>
                <w:kern w:val="0"/>
                <w:szCs w:val="21"/>
              </w:rPr>
              <w:t>（5）有10项及以上指标负偏离的，此项得0分。</w:t>
            </w:r>
          </w:p>
          <w:p w14:paraId="4A5057B6">
            <w:pPr>
              <w:spacing w:line="280" w:lineRule="exact"/>
              <w:rPr>
                <w:rFonts w:ascii="宋体" w:hAnsi="宋体" w:cs="宋体"/>
                <w:kern w:val="0"/>
                <w:szCs w:val="21"/>
              </w:rPr>
            </w:pPr>
            <w:r>
              <w:rPr>
                <w:rFonts w:hint="eastAsia" w:ascii="宋体" w:hAnsi="宋体" w:cs="宋体"/>
                <w:kern w:val="0"/>
                <w:szCs w:val="21"/>
              </w:rPr>
              <w:t>注：须提供相应的技术支持资料。技术支持资料是指以制造商公开发布的印刷资料【包括技术白皮书（Data sheet）、技术说明书、产品介绍彩页等】或第三方检测机构出具的检测报告等形式为准，凡不符合上述要求的，可以视为无效技术支持资料。如果技术支持资料页数很多，供应商可以只提供关键页的复印件，但是应当包含响应参数所在页的内容，否则可以视为无效技术支持资料。若第三方检测机构出具的检测报告与制造商公开发布的印刷资料不一致，以第三方检测机构出具的检测报告为准。</w:t>
            </w:r>
          </w:p>
        </w:tc>
        <w:tc>
          <w:tcPr>
            <w:tcW w:w="1252" w:type="dxa"/>
            <w:vAlign w:val="center"/>
          </w:tcPr>
          <w:p w14:paraId="26277D8F">
            <w:pPr>
              <w:jc w:val="center"/>
              <w:rPr>
                <w:rFonts w:ascii="宋体" w:hAnsi="宋体"/>
                <w:szCs w:val="21"/>
              </w:rPr>
            </w:pPr>
            <w:r>
              <w:rPr>
                <w:rFonts w:hint="eastAsia" w:ascii="宋体" w:hAnsi="宋体"/>
                <w:szCs w:val="21"/>
              </w:rPr>
              <w:t>13</w:t>
            </w:r>
          </w:p>
        </w:tc>
      </w:tr>
      <w:tr w14:paraId="5EF5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9" w:type="dxa"/>
            <w:vAlign w:val="center"/>
          </w:tcPr>
          <w:p w14:paraId="560FB54D">
            <w:pPr>
              <w:jc w:val="center"/>
              <w:rPr>
                <w:rFonts w:ascii="宋体" w:hAnsi="宋体"/>
                <w:szCs w:val="21"/>
              </w:rPr>
            </w:pPr>
            <w:r>
              <w:rPr>
                <w:rFonts w:hint="eastAsia" w:ascii="宋体" w:hAnsi="宋体"/>
                <w:szCs w:val="21"/>
              </w:rPr>
              <w:t>5</w:t>
            </w:r>
          </w:p>
        </w:tc>
        <w:tc>
          <w:tcPr>
            <w:tcW w:w="1701" w:type="dxa"/>
            <w:vAlign w:val="center"/>
          </w:tcPr>
          <w:p w14:paraId="65B30D97">
            <w:pPr>
              <w:widowControl/>
              <w:jc w:val="center"/>
              <w:rPr>
                <w:rFonts w:ascii="宋体" w:hAnsi="宋体" w:cs="宋体"/>
                <w:szCs w:val="21"/>
              </w:rPr>
            </w:pPr>
            <w:r>
              <w:rPr>
                <w:rFonts w:hint="eastAsia" w:ascii="宋体" w:hAnsi="宋体" w:cs="宋体"/>
                <w:kern w:val="0"/>
                <w:szCs w:val="21"/>
              </w:rPr>
              <w:t>拟派项目团队</w:t>
            </w:r>
          </w:p>
        </w:tc>
        <w:tc>
          <w:tcPr>
            <w:tcW w:w="6103" w:type="dxa"/>
          </w:tcPr>
          <w:p w14:paraId="62376699">
            <w:pPr>
              <w:widowControl/>
              <w:jc w:val="left"/>
              <w:rPr>
                <w:rFonts w:ascii="宋体" w:hAnsi="宋体"/>
                <w:szCs w:val="21"/>
              </w:rPr>
            </w:pPr>
            <w:r>
              <w:rPr>
                <w:rFonts w:hint="eastAsia" w:ascii="宋体" w:hAnsi="宋体"/>
                <w:szCs w:val="21"/>
              </w:rPr>
              <w:t>根据各报价人针对本项目人员配置方案进行综合评审。</w:t>
            </w:r>
          </w:p>
          <w:p w14:paraId="38056E6D">
            <w:pPr>
              <w:widowControl/>
              <w:jc w:val="left"/>
              <w:rPr>
                <w:rFonts w:ascii="宋体" w:hAnsi="宋体"/>
                <w:szCs w:val="21"/>
              </w:rPr>
            </w:pPr>
            <w:r>
              <w:rPr>
                <w:rFonts w:hint="eastAsia" w:ascii="宋体" w:hAnsi="宋体"/>
                <w:szCs w:val="21"/>
              </w:rPr>
              <w:t>（1）项目负责人及配备人员充足、专业符合本项目的特点、类似工作经验丰富，所获证书全面的得7-8分；</w:t>
            </w:r>
          </w:p>
          <w:p w14:paraId="7360F277">
            <w:pPr>
              <w:widowControl/>
              <w:jc w:val="left"/>
              <w:rPr>
                <w:rFonts w:ascii="宋体" w:hAnsi="宋体"/>
                <w:szCs w:val="21"/>
              </w:rPr>
            </w:pPr>
            <w:r>
              <w:rPr>
                <w:rFonts w:hint="eastAsia" w:ascii="宋体" w:hAnsi="宋体"/>
                <w:szCs w:val="21"/>
              </w:rPr>
              <w:t>（2）项目负责人及配备人员基本合理、专业符合本项目特点、类似工作经验略有欠缺，相关证书有欠缺的得3-6分；</w:t>
            </w:r>
          </w:p>
          <w:p w14:paraId="0C560265">
            <w:pPr>
              <w:rPr>
                <w:rFonts w:ascii="宋体" w:hAnsi="宋体"/>
                <w:szCs w:val="21"/>
              </w:rPr>
            </w:pPr>
            <w:r>
              <w:rPr>
                <w:rFonts w:hint="eastAsia" w:ascii="宋体" w:hAnsi="宋体"/>
                <w:szCs w:val="21"/>
              </w:rPr>
              <w:t>（3）项目负责人及配备人员不足，类似工作经验严重欠缺，无相关证书的得1-2分；</w:t>
            </w:r>
          </w:p>
          <w:p w14:paraId="6AADF04F">
            <w:pPr>
              <w:rPr>
                <w:rFonts w:ascii="宋体" w:hAnsi="宋体"/>
                <w:szCs w:val="21"/>
              </w:rPr>
            </w:pPr>
            <w:r>
              <w:rPr>
                <w:rFonts w:hint="eastAsia" w:ascii="宋体" w:hAnsi="宋体"/>
                <w:bCs/>
                <w:kern w:val="0"/>
                <w:szCs w:val="21"/>
              </w:rPr>
              <w:t>（4）未提供相应内容的不得分。</w:t>
            </w:r>
          </w:p>
        </w:tc>
        <w:tc>
          <w:tcPr>
            <w:tcW w:w="1252" w:type="dxa"/>
            <w:vAlign w:val="center"/>
          </w:tcPr>
          <w:p w14:paraId="60A014FD">
            <w:pPr>
              <w:jc w:val="center"/>
              <w:rPr>
                <w:rFonts w:ascii="宋体" w:hAnsi="宋体"/>
                <w:szCs w:val="21"/>
              </w:rPr>
            </w:pPr>
            <w:r>
              <w:rPr>
                <w:rFonts w:hint="eastAsia" w:ascii="宋体" w:hAnsi="宋体"/>
                <w:szCs w:val="21"/>
              </w:rPr>
              <w:t>8</w:t>
            </w:r>
          </w:p>
        </w:tc>
      </w:tr>
      <w:tr w14:paraId="6F8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9" w:type="dxa"/>
            <w:vAlign w:val="center"/>
          </w:tcPr>
          <w:p w14:paraId="1477F4E4">
            <w:pPr>
              <w:jc w:val="center"/>
              <w:rPr>
                <w:rFonts w:ascii="宋体" w:hAnsi="宋体"/>
                <w:szCs w:val="21"/>
              </w:rPr>
            </w:pPr>
            <w:r>
              <w:rPr>
                <w:rFonts w:hint="eastAsia" w:ascii="宋体" w:hAnsi="宋体"/>
                <w:szCs w:val="21"/>
              </w:rPr>
              <w:t>6</w:t>
            </w:r>
          </w:p>
        </w:tc>
        <w:tc>
          <w:tcPr>
            <w:tcW w:w="1701" w:type="dxa"/>
            <w:vAlign w:val="center"/>
          </w:tcPr>
          <w:p w14:paraId="69EE7663">
            <w:pPr>
              <w:jc w:val="center"/>
              <w:rPr>
                <w:rFonts w:ascii="宋体" w:hAnsi="宋体"/>
                <w:szCs w:val="21"/>
              </w:rPr>
            </w:pPr>
            <w:r>
              <w:rPr>
                <w:rFonts w:ascii="宋体" w:hAnsi="宋体"/>
                <w:szCs w:val="21"/>
              </w:rPr>
              <w:t>实施方案</w:t>
            </w:r>
          </w:p>
        </w:tc>
        <w:tc>
          <w:tcPr>
            <w:tcW w:w="6103" w:type="dxa"/>
            <w:vAlign w:val="center"/>
          </w:tcPr>
          <w:p w14:paraId="206CDE31">
            <w:pPr>
              <w:rPr>
                <w:rFonts w:ascii="宋体" w:hAnsi="宋体"/>
                <w:szCs w:val="21"/>
              </w:rPr>
            </w:pPr>
            <w:r>
              <w:rPr>
                <w:rFonts w:ascii="宋体" w:hAnsi="宋体"/>
                <w:szCs w:val="21"/>
              </w:rPr>
              <w:t>实施计划</w:t>
            </w:r>
            <w:r>
              <w:rPr>
                <w:rFonts w:hint="eastAsia" w:ascii="宋体" w:hAnsi="宋体"/>
                <w:szCs w:val="21"/>
              </w:rPr>
              <w:t>、进度安排、验收标准及质量保证措施等内容进行综合评审。</w:t>
            </w:r>
          </w:p>
          <w:p w14:paraId="363470B2">
            <w:pPr>
              <w:rPr>
                <w:rFonts w:ascii="宋体" w:hAnsi="宋体"/>
                <w:szCs w:val="21"/>
              </w:rPr>
            </w:pPr>
            <w:r>
              <w:rPr>
                <w:rFonts w:hint="eastAsia" w:ascii="宋体" w:hAnsi="宋体"/>
                <w:szCs w:val="21"/>
              </w:rPr>
              <w:t>（1）项目实施计划完善，进度计划合理、验收标准及计划合理完整、内容表述清晰；质量保证措施针对性强、可操作性强的6-8分；</w:t>
            </w:r>
          </w:p>
          <w:p w14:paraId="3EE0EAA9">
            <w:pPr>
              <w:rPr>
                <w:rFonts w:ascii="宋体" w:hAnsi="宋体"/>
                <w:szCs w:val="21"/>
              </w:rPr>
            </w:pPr>
            <w:r>
              <w:rPr>
                <w:rFonts w:hint="eastAsia" w:ascii="宋体" w:hAnsi="宋体"/>
                <w:szCs w:val="21"/>
              </w:rPr>
              <w:t>（2）项目实施计划较为完善，进度计划基本合理能满足要求、验收标准及计划略有欠缺，内容表述基本清晰；质量保证措施，有针对性、基本可行的得3-5分；</w:t>
            </w:r>
          </w:p>
          <w:p w14:paraId="3C4FB9F6">
            <w:pPr>
              <w:rPr>
                <w:rFonts w:ascii="宋体" w:hAnsi="宋体"/>
                <w:szCs w:val="21"/>
              </w:rPr>
            </w:pPr>
            <w:r>
              <w:rPr>
                <w:rFonts w:hint="eastAsia" w:ascii="宋体" w:hAnsi="宋体"/>
                <w:szCs w:val="21"/>
              </w:rPr>
              <w:t>（3）项目实施计划较为简陋，进度计划粗糙、验收标准及计划简单粗糙、内容表述不清晰；质量保证措施针对性不足、可操作性不强的得1-2分；</w:t>
            </w:r>
          </w:p>
          <w:p w14:paraId="6D4ADF11">
            <w:pPr>
              <w:rPr>
                <w:rFonts w:ascii="宋体" w:hAnsi="宋体"/>
                <w:szCs w:val="21"/>
              </w:rPr>
            </w:pPr>
            <w:r>
              <w:rPr>
                <w:rFonts w:hint="eastAsia" w:ascii="宋体" w:hAnsi="宋体"/>
                <w:bCs/>
                <w:kern w:val="0"/>
                <w:szCs w:val="21"/>
              </w:rPr>
              <w:t>（4）未提供相应内容的不得分。</w:t>
            </w:r>
          </w:p>
        </w:tc>
        <w:tc>
          <w:tcPr>
            <w:tcW w:w="1252" w:type="dxa"/>
            <w:vAlign w:val="center"/>
          </w:tcPr>
          <w:p w14:paraId="21B6BE05">
            <w:pPr>
              <w:jc w:val="center"/>
              <w:rPr>
                <w:rFonts w:ascii="宋体" w:hAnsi="宋体" w:cs="宋体"/>
                <w:szCs w:val="21"/>
              </w:rPr>
            </w:pPr>
            <w:r>
              <w:rPr>
                <w:rFonts w:hint="eastAsia" w:ascii="宋体" w:hAnsi="宋体" w:cs="宋体"/>
                <w:szCs w:val="21"/>
              </w:rPr>
              <w:t>8</w:t>
            </w:r>
          </w:p>
        </w:tc>
      </w:tr>
      <w:tr w14:paraId="04F3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9" w:type="dxa"/>
            <w:vAlign w:val="center"/>
          </w:tcPr>
          <w:p w14:paraId="262D41C1">
            <w:pPr>
              <w:jc w:val="center"/>
              <w:rPr>
                <w:rFonts w:ascii="宋体" w:hAnsi="宋体"/>
                <w:szCs w:val="21"/>
              </w:rPr>
            </w:pPr>
            <w:r>
              <w:rPr>
                <w:rFonts w:hint="eastAsia" w:ascii="宋体" w:hAnsi="宋体"/>
                <w:szCs w:val="21"/>
              </w:rPr>
              <w:t>7</w:t>
            </w:r>
          </w:p>
        </w:tc>
        <w:tc>
          <w:tcPr>
            <w:tcW w:w="1701" w:type="dxa"/>
            <w:vAlign w:val="center"/>
          </w:tcPr>
          <w:p w14:paraId="2851B254">
            <w:pPr>
              <w:jc w:val="center"/>
              <w:rPr>
                <w:rFonts w:ascii="宋体" w:hAnsi="宋体"/>
                <w:szCs w:val="21"/>
              </w:rPr>
            </w:pPr>
            <w:r>
              <w:rPr>
                <w:rFonts w:ascii="宋体" w:hAnsi="宋体"/>
                <w:szCs w:val="21"/>
              </w:rPr>
              <w:t>故障及应急处理方案</w:t>
            </w:r>
          </w:p>
        </w:tc>
        <w:tc>
          <w:tcPr>
            <w:tcW w:w="6103" w:type="dxa"/>
            <w:vAlign w:val="center"/>
          </w:tcPr>
          <w:p w14:paraId="46F5E12E">
            <w:pPr>
              <w:rPr>
                <w:rFonts w:ascii="宋体" w:hAnsi="宋体"/>
                <w:szCs w:val="21"/>
              </w:rPr>
            </w:pPr>
            <w:r>
              <w:rPr>
                <w:rFonts w:hint="eastAsia" w:ascii="宋体" w:hAnsi="宋体"/>
                <w:szCs w:val="21"/>
              </w:rPr>
              <w:t>根据各供应商提供的</w:t>
            </w:r>
            <w:r>
              <w:rPr>
                <w:rFonts w:ascii="宋体" w:hAnsi="宋体"/>
                <w:szCs w:val="21"/>
              </w:rPr>
              <w:t>故障及应急处理方案</w:t>
            </w:r>
            <w:r>
              <w:rPr>
                <w:rFonts w:hint="eastAsia" w:ascii="宋体" w:hAnsi="宋体"/>
                <w:szCs w:val="21"/>
              </w:rPr>
              <w:t>内容进行综合评审：</w:t>
            </w:r>
          </w:p>
          <w:p w14:paraId="62B5E25E">
            <w:pPr>
              <w:rPr>
                <w:rFonts w:ascii="宋体" w:hAnsi="宋体"/>
                <w:szCs w:val="21"/>
              </w:rPr>
            </w:pPr>
            <w:r>
              <w:rPr>
                <w:rFonts w:hint="eastAsia" w:ascii="宋体" w:hAnsi="宋体"/>
                <w:szCs w:val="21"/>
              </w:rPr>
              <w:t>（1）故障管理及应急处理方案细致、全面，各种故障处理预案准备充分的得4分；</w:t>
            </w:r>
          </w:p>
          <w:p w14:paraId="75C4C4F7">
            <w:pPr>
              <w:rPr>
                <w:rFonts w:ascii="宋体" w:hAnsi="宋体"/>
                <w:szCs w:val="21"/>
              </w:rPr>
            </w:pPr>
            <w:r>
              <w:rPr>
                <w:rFonts w:hint="eastAsia" w:ascii="宋体" w:hAnsi="宋体"/>
                <w:szCs w:val="21"/>
              </w:rPr>
              <w:t>（2）故障管理及应急处理方案较为细致，但各种故障处理预案准备不够充分的得2-3分；</w:t>
            </w:r>
          </w:p>
          <w:p w14:paraId="2D77D910">
            <w:pPr>
              <w:rPr>
                <w:rFonts w:ascii="宋体" w:hAnsi="宋体"/>
                <w:szCs w:val="21"/>
              </w:rPr>
            </w:pPr>
            <w:r>
              <w:rPr>
                <w:rFonts w:hint="eastAsia" w:ascii="宋体" w:hAnsi="宋体"/>
                <w:szCs w:val="21"/>
              </w:rPr>
              <w:t>（3）故障管理及应急处理方案简单，各种故障处理预案准备有欠缺的得1分；</w:t>
            </w:r>
          </w:p>
          <w:p w14:paraId="35CFF1D5">
            <w:pPr>
              <w:rPr>
                <w:rFonts w:ascii="宋体" w:hAnsi="宋体"/>
                <w:bCs/>
                <w:kern w:val="0"/>
                <w:szCs w:val="21"/>
              </w:rPr>
            </w:pPr>
            <w:r>
              <w:rPr>
                <w:rFonts w:hint="eastAsia" w:ascii="宋体" w:hAnsi="宋体" w:cs="宋体"/>
                <w:spacing w:val="-8"/>
                <w:szCs w:val="21"/>
              </w:rPr>
              <w:t>（4）未提供相应内容的不得分。</w:t>
            </w:r>
          </w:p>
        </w:tc>
        <w:tc>
          <w:tcPr>
            <w:tcW w:w="1252" w:type="dxa"/>
            <w:vAlign w:val="center"/>
          </w:tcPr>
          <w:p w14:paraId="1E14C0C8">
            <w:pPr>
              <w:jc w:val="center"/>
              <w:rPr>
                <w:rFonts w:ascii="宋体" w:hAnsi="宋体" w:cs="宋体"/>
                <w:szCs w:val="21"/>
              </w:rPr>
            </w:pPr>
            <w:r>
              <w:rPr>
                <w:rFonts w:hint="eastAsia" w:ascii="宋体" w:hAnsi="宋体" w:cs="宋体"/>
                <w:szCs w:val="21"/>
              </w:rPr>
              <w:t>4</w:t>
            </w:r>
          </w:p>
        </w:tc>
      </w:tr>
      <w:tr w14:paraId="673B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09" w:type="dxa"/>
            <w:vAlign w:val="center"/>
          </w:tcPr>
          <w:p w14:paraId="0A1CABA9">
            <w:pPr>
              <w:widowControl/>
              <w:jc w:val="center"/>
              <w:rPr>
                <w:rFonts w:ascii="宋体" w:hAnsi="宋体"/>
                <w:bCs/>
                <w:kern w:val="0"/>
                <w:szCs w:val="21"/>
              </w:rPr>
            </w:pPr>
            <w:r>
              <w:rPr>
                <w:rFonts w:hint="eastAsia" w:ascii="宋体" w:hAnsi="宋体"/>
                <w:bCs/>
                <w:kern w:val="0"/>
                <w:szCs w:val="21"/>
              </w:rPr>
              <w:t>8</w:t>
            </w:r>
          </w:p>
        </w:tc>
        <w:tc>
          <w:tcPr>
            <w:tcW w:w="1701" w:type="dxa"/>
            <w:vAlign w:val="center"/>
          </w:tcPr>
          <w:p w14:paraId="06BCAB7F">
            <w:pPr>
              <w:widowControl/>
              <w:jc w:val="center"/>
              <w:rPr>
                <w:rFonts w:ascii="宋体" w:hAnsi="宋体" w:cs="宋体"/>
                <w:kern w:val="0"/>
                <w:szCs w:val="21"/>
              </w:rPr>
            </w:pPr>
            <w:r>
              <w:rPr>
                <w:rFonts w:hint="eastAsia" w:ascii="宋体" w:hAnsi="宋体"/>
                <w:szCs w:val="21"/>
              </w:rPr>
              <w:t>验收保障</w:t>
            </w:r>
          </w:p>
        </w:tc>
        <w:tc>
          <w:tcPr>
            <w:tcW w:w="6103" w:type="dxa"/>
          </w:tcPr>
          <w:p w14:paraId="109A3E20">
            <w:pPr>
              <w:rPr>
                <w:rFonts w:ascii="宋体" w:hAnsi="宋体" w:cs="宋体"/>
                <w:spacing w:val="-8"/>
                <w:szCs w:val="21"/>
              </w:rPr>
            </w:pPr>
            <w:r>
              <w:rPr>
                <w:rFonts w:hint="eastAsia" w:ascii="宋体" w:hAnsi="宋体"/>
                <w:szCs w:val="21"/>
              </w:rPr>
              <w:t>根据各供应商所提供的验收方案、</w:t>
            </w:r>
            <w:r>
              <w:rPr>
                <w:rFonts w:hint="eastAsia" w:ascii="宋体" w:hAnsi="宋体"/>
                <w:szCs w:val="21"/>
                <w:shd w:val="clear" w:color="auto" w:fill="FFFFFF"/>
              </w:rPr>
              <w:t>验收缺陷处置、性能违约赔偿是否符合足以保护采购人的权益</w:t>
            </w:r>
            <w:r>
              <w:rPr>
                <w:rFonts w:hint="eastAsia" w:ascii="宋体" w:hAnsi="宋体"/>
                <w:szCs w:val="21"/>
              </w:rPr>
              <w:t>等内容</w:t>
            </w:r>
            <w:r>
              <w:rPr>
                <w:rFonts w:hint="eastAsia" w:ascii="宋体" w:hAnsi="宋体" w:cs="宋体"/>
                <w:kern w:val="0"/>
                <w:szCs w:val="21"/>
              </w:rPr>
              <w:t>进行综合评审：</w:t>
            </w:r>
          </w:p>
          <w:p w14:paraId="542F8F1F">
            <w:pPr>
              <w:rPr>
                <w:rFonts w:ascii="宋体" w:hAnsi="宋体" w:cs="宋体"/>
                <w:spacing w:val="-8"/>
                <w:szCs w:val="21"/>
              </w:rPr>
            </w:pPr>
            <w:r>
              <w:rPr>
                <w:rFonts w:hint="eastAsia" w:ascii="宋体" w:hAnsi="宋体" w:cs="宋体"/>
                <w:spacing w:val="-8"/>
                <w:szCs w:val="21"/>
              </w:rPr>
              <w:t>（1）</w:t>
            </w:r>
            <w:r>
              <w:rPr>
                <w:rFonts w:ascii="宋体" w:hAnsi="宋体" w:cs="宋体"/>
                <w:spacing w:val="-8"/>
                <w:szCs w:val="21"/>
              </w:rPr>
              <w:t>验收体系完善</w:t>
            </w:r>
            <w:r>
              <w:rPr>
                <w:rFonts w:hint="eastAsia" w:ascii="宋体" w:hAnsi="宋体" w:cs="宋体"/>
                <w:spacing w:val="-8"/>
                <w:szCs w:val="21"/>
              </w:rPr>
              <w:t>，</w:t>
            </w:r>
            <w:r>
              <w:rPr>
                <w:rFonts w:ascii="宋体" w:hAnsi="宋体" w:cs="宋体"/>
                <w:spacing w:val="-8"/>
                <w:szCs w:val="21"/>
              </w:rPr>
              <w:t>验收方案具有针对性和可操作性</w:t>
            </w:r>
            <w:r>
              <w:rPr>
                <w:rFonts w:hint="eastAsia" w:ascii="宋体" w:hAnsi="宋体" w:cs="宋体"/>
                <w:spacing w:val="-8"/>
                <w:szCs w:val="21"/>
              </w:rPr>
              <w:t>，</w:t>
            </w:r>
            <w:r>
              <w:rPr>
                <w:rFonts w:ascii="宋体" w:hAnsi="宋体" w:cs="宋体"/>
                <w:spacing w:val="-8"/>
                <w:szCs w:val="21"/>
              </w:rPr>
              <w:t>违约赔偿详尽得</w:t>
            </w:r>
            <w:r>
              <w:rPr>
                <w:rFonts w:hint="eastAsia" w:ascii="宋体" w:hAnsi="宋体" w:cs="宋体"/>
                <w:spacing w:val="-8"/>
                <w:szCs w:val="21"/>
              </w:rPr>
              <w:t>3分；</w:t>
            </w:r>
          </w:p>
          <w:p w14:paraId="56CAC31D">
            <w:pPr>
              <w:rPr>
                <w:rFonts w:ascii="宋体" w:hAnsi="宋体" w:cs="宋体"/>
                <w:spacing w:val="-8"/>
                <w:szCs w:val="21"/>
              </w:rPr>
            </w:pPr>
            <w:r>
              <w:rPr>
                <w:rFonts w:hint="eastAsia" w:ascii="宋体" w:hAnsi="宋体" w:cs="宋体"/>
                <w:spacing w:val="-8"/>
                <w:szCs w:val="21"/>
              </w:rPr>
              <w:t>（2）验收体系基本可行，验收方案较为合理，针对性和可操作性一般，违约承诺较为详尽者得2分；</w:t>
            </w:r>
          </w:p>
          <w:p w14:paraId="71AC2683">
            <w:pPr>
              <w:rPr>
                <w:rFonts w:ascii="宋体" w:hAnsi="宋体" w:cs="宋体"/>
                <w:spacing w:val="-8"/>
                <w:szCs w:val="21"/>
              </w:rPr>
            </w:pPr>
            <w:r>
              <w:rPr>
                <w:rFonts w:hint="eastAsia" w:ascii="宋体" w:hAnsi="宋体" w:cs="宋体"/>
                <w:spacing w:val="-8"/>
                <w:szCs w:val="21"/>
              </w:rPr>
              <w:t>（3）验收方案一般，针对性和可操作性较有欠缺，缺少违约承诺得1</w:t>
            </w:r>
            <w:r>
              <w:rPr>
                <w:rFonts w:ascii="宋体" w:hAnsi="宋体" w:cs="宋体"/>
                <w:spacing w:val="-8"/>
                <w:szCs w:val="21"/>
              </w:rPr>
              <w:t>分</w:t>
            </w:r>
            <w:r>
              <w:rPr>
                <w:rFonts w:hint="eastAsia" w:ascii="宋体" w:hAnsi="宋体" w:cs="宋体"/>
                <w:spacing w:val="-8"/>
                <w:szCs w:val="21"/>
              </w:rPr>
              <w:t>；</w:t>
            </w:r>
          </w:p>
          <w:p w14:paraId="13532692">
            <w:pPr>
              <w:rPr>
                <w:rFonts w:ascii="宋体" w:hAnsi="宋体"/>
                <w:snapToGrid w:val="0"/>
                <w:kern w:val="0"/>
                <w:szCs w:val="21"/>
              </w:rPr>
            </w:pPr>
            <w:r>
              <w:rPr>
                <w:rFonts w:hint="eastAsia" w:ascii="宋体" w:hAnsi="宋体" w:cs="宋体"/>
                <w:spacing w:val="-8"/>
                <w:szCs w:val="21"/>
              </w:rPr>
              <w:t>（4）未提供相应内容的不得分。</w:t>
            </w:r>
          </w:p>
        </w:tc>
        <w:tc>
          <w:tcPr>
            <w:tcW w:w="1252" w:type="dxa"/>
            <w:vAlign w:val="center"/>
          </w:tcPr>
          <w:p w14:paraId="07344AAB">
            <w:pPr>
              <w:jc w:val="center"/>
              <w:rPr>
                <w:rFonts w:ascii="宋体" w:hAnsi="宋体"/>
                <w:szCs w:val="21"/>
              </w:rPr>
            </w:pPr>
            <w:r>
              <w:rPr>
                <w:rFonts w:hint="eastAsia" w:ascii="宋体" w:hAnsi="宋体"/>
                <w:szCs w:val="21"/>
              </w:rPr>
              <w:t>3</w:t>
            </w:r>
          </w:p>
        </w:tc>
      </w:tr>
      <w:tr w14:paraId="0809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dxa"/>
            <w:vAlign w:val="center"/>
          </w:tcPr>
          <w:p w14:paraId="611FA0A2">
            <w:pPr>
              <w:widowControl/>
              <w:jc w:val="center"/>
              <w:rPr>
                <w:rFonts w:ascii="宋体" w:hAnsi="宋体"/>
                <w:bCs/>
                <w:kern w:val="0"/>
                <w:szCs w:val="21"/>
              </w:rPr>
            </w:pPr>
            <w:r>
              <w:rPr>
                <w:rFonts w:hint="eastAsia" w:ascii="宋体" w:hAnsi="宋体"/>
                <w:bCs/>
                <w:kern w:val="0"/>
                <w:szCs w:val="21"/>
              </w:rPr>
              <w:t>9</w:t>
            </w:r>
          </w:p>
        </w:tc>
        <w:tc>
          <w:tcPr>
            <w:tcW w:w="1701" w:type="dxa"/>
            <w:vAlign w:val="center"/>
          </w:tcPr>
          <w:p w14:paraId="22A397CA">
            <w:pPr>
              <w:widowControl/>
              <w:jc w:val="center"/>
              <w:rPr>
                <w:rFonts w:ascii="宋体" w:hAnsi="宋体" w:cs="宋体"/>
                <w:kern w:val="0"/>
                <w:szCs w:val="21"/>
              </w:rPr>
            </w:pPr>
            <w:r>
              <w:rPr>
                <w:szCs w:val="21"/>
              </w:rPr>
              <w:t>培训方案</w:t>
            </w:r>
          </w:p>
        </w:tc>
        <w:tc>
          <w:tcPr>
            <w:tcW w:w="6103" w:type="dxa"/>
          </w:tcPr>
          <w:p w14:paraId="61652216">
            <w:pPr>
              <w:adjustRightInd w:val="0"/>
              <w:textAlignment w:val="baseline"/>
              <w:rPr>
                <w:rFonts w:ascii="宋体" w:hAnsi="宋体" w:cs="宋体"/>
                <w:kern w:val="0"/>
                <w:szCs w:val="21"/>
              </w:rPr>
            </w:pPr>
            <w:r>
              <w:rPr>
                <w:rFonts w:hint="eastAsia" w:ascii="宋体" w:hAnsi="宋体" w:cs="宋体"/>
                <w:kern w:val="0"/>
                <w:szCs w:val="21"/>
              </w:rPr>
              <w:t>根据各供应商所提供的培训大纲、培训时间、培训人员等内容进行综合评审：</w:t>
            </w:r>
          </w:p>
          <w:p w14:paraId="6735D54B">
            <w:pPr>
              <w:adjustRightInd w:val="0"/>
              <w:textAlignment w:val="baseline"/>
              <w:rPr>
                <w:rFonts w:ascii="宋体" w:hAnsi="宋体" w:cs="宋体"/>
                <w:kern w:val="0"/>
                <w:szCs w:val="21"/>
              </w:rPr>
            </w:pPr>
            <w:r>
              <w:rPr>
                <w:rFonts w:hint="eastAsia" w:ascii="宋体" w:hAnsi="宋体" w:cs="宋体"/>
                <w:kern w:val="0"/>
                <w:szCs w:val="21"/>
              </w:rPr>
              <w:t>（1）供应商提供的培训大纲内容详细，培训人员较多且经验丰富、培训时间满足采购文件要求的得3分；</w:t>
            </w:r>
          </w:p>
          <w:p w14:paraId="2966C746">
            <w:pPr>
              <w:adjustRightInd w:val="0"/>
              <w:textAlignment w:val="baseline"/>
              <w:rPr>
                <w:rFonts w:ascii="宋体" w:hAnsi="宋体" w:cs="宋体"/>
                <w:kern w:val="0"/>
                <w:szCs w:val="21"/>
              </w:rPr>
            </w:pPr>
            <w:r>
              <w:rPr>
                <w:rFonts w:hint="eastAsia" w:ascii="宋体" w:hAnsi="宋体" w:cs="宋体"/>
                <w:kern w:val="0"/>
                <w:szCs w:val="21"/>
              </w:rPr>
              <w:t>（2）供应商提供的培训大纲内容相对详细，培训人员数量一般；培训时间基本满足采购文件要求的得2分；</w:t>
            </w:r>
          </w:p>
          <w:p w14:paraId="43C61F39">
            <w:pPr>
              <w:rPr>
                <w:rFonts w:ascii="宋体" w:hAnsi="宋体"/>
                <w:bCs/>
                <w:kern w:val="0"/>
                <w:szCs w:val="21"/>
              </w:rPr>
            </w:pPr>
            <w:r>
              <w:rPr>
                <w:rFonts w:hint="eastAsia" w:ascii="宋体" w:hAnsi="宋体" w:cs="宋体"/>
                <w:kern w:val="0"/>
                <w:szCs w:val="21"/>
              </w:rPr>
              <w:t>（3）供应商提供的培训大纲内容简单，培训人员较少；培训时间未能满足采购文件要求的得0-1分。</w:t>
            </w:r>
          </w:p>
        </w:tc>
        <w:tc>
          <w:tcPr>
            <w:tcW w:w="1252" w:type="dxa"/>
            <w:vAlign w:val="center"/>
          </w:tcPr>
          <w:p w14:paraId="72DDBFB7">
            <w:pPr>
              <w:jc w:val="center"/>
              <w:rPr>
                <w:rFonts w:ascii="宋体" w:hAnsi="宋体" w:cs="宋体"/>
                <w:szCs w:val="21"/>
              </w:rPr>
            </w:pPr>
            <w:r>
              <w:rPr>
                <w:rFonts w:hint="eastAsia" w:ascii="宋体" w:hAnsi="宋体" w:cs="宋体"/>
                <w:szCs w:val="21"/>
              </w:rPr>
              <w:t>3</w:t>
            </w:r>
          </w:p>
        </w:tc>
      </w:tr>
      <w:tr w14:paraId="6247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dxa"/>
            <w:vAlign w:val="center"/>
          </w:tcPr>
          <w:p w14:paraId="78AFAB94">
            <w:pPr>
              <w:widowControl/>
              <w:jc w:val="center"/>
              <w:rPr>
                <w:rFonts w:ascii="宋体" w:hAnsi="宋体"/>
                <w:bCs/>
                <w:kern w:val="0"/>
                <w:szCs w:val="21"/>
              </w:rPr>
            </w:pPr>
            <w:r>
              <w:rPr>
                <w:rFonts w:hint="eastAsia" w:ascii="宋体" w:hAnsi="宋体"/>
                <w:bCs/>
                <w:kern w:val="0"/>
                <w:szCs w:val="21"/>
              </w:rPr>
              <w:t>10</w:t>
            </w:r>
          </w:p>
        </w:tc>
        <w:tc>
          <w:tcPr>
            <w:tcW w:w="1701" w:type="dxa"/>
            <w:vAlign w:val="center"/>
          </w:tcPr>
          <w:p w14:paraId="64861E1C">
            <w:pPr>
              <w:widowControl/>
              <w:jc w:val="center"/>
              <w:rPr>
                <w:rFonts w:ascii="宋体" w:hAnsi="宋体" w:cs="宋体"/>
                <w:kern w:val="0"/>
                <w:szCs w:val="21"/>
              </w:rPr>
            </w:pPr>
            <w:r>
              <w:rPr>
                <w:rFonts w:hint="eastAsia" w:ascii="宋体" w:hAnsi="宋体"/>
                <w:szCs w:val="21"/>
              </w:rPr>
              <w:t>售后服务承诺及保障措施</w:t>
            </w:r>
          </w:p>
        </w:tc>
        <w:tc>
          <w:tcPr>
            <w:tcW w:w="6103" w:type="dxa"/>
          </w:tcPr>
          <w:p w14:paraId="74B6F47F">
            <w:pPr>
              <w:rPr>
                <w:rFonts w:ascii="宋体" w:hAnsi="宋体" w:cs="宋体"/>
                <w:spacing w:val="-8"/>
                <w:szCs w:val="21"/>
              </w:rPr>
            </w:pPr>
            <w:r>
              <w:rPr>
                <w:rFonts w:hint="eastAsia" w:ascii="宋体" w:hAnsi="宋体"/>
                <w:szCs w:val="21"/>
              </w:rPr>
              <w:t>根据</w:t>
            </w:r>
            <w:r>
              <w:rPr>
                <w:rFonts w:hint="eastAsia" w:ascii="宋体" w:hAnsi="宋体" w:cs="宋体"/>
                <w:kern w:val="0"/>
                <w:szCs w:val="21"/>
              </w:rPr>
              <w:t>各</w:t>
            </w:r>
            <w:r>
              <w:rPr>
                <w:rFonts w:hint="eastAsia" w:ascii="宋体" w:hAnsi="宋体"/>
                <w:szCs w:val="21"/>
              </w:rPr>
              <w:t>供应商所提供的售后服务响应时间、服务内容与计划、维保内容与价格、备品备件供货与价格、能针对用户的实际需要提供延伸服务、便利服务等特色服务</w:t>
            </w:r>
            <w:r>
              <w:rPr>
                <w:rFonts w:hint="eastAsia" w:ascii="宋体" w:hAnsi="宋体" w:cs="宋体"/>
                <w:kern w:val="0"/>
                <w:szCs w:val="21"/>
              </w:rPr>
              <w:t>内容进行综合评审：</w:t>
            </w:r>
          </w:p>
          <w:p w14:paraId="04F4B104">
            <w:pPr>
              <w:rPr>
                <w:rFonts w:ascii="宋体" w:hAnsi="宋体" w:cs="宋体"/>
                <w:spacing w:val="-8"/>
                <w:szCs w:val="21"/>
              </w:rPr>
            </w:pPr>
            <w:r>
              <w:rPr>
                <w:rFonts w:hint="eastAsia" w:ascii="宋体" w:hAnsi="宋体" w:cs="宋体"/>
                <w:spacing w:val="-8"/>
                <w:szCs w:val="21"/>
              </w:rPr>
              <w:t>（1）</w:t>
            </w:r>
            <w:r>
              <w:rPr>
                <w:rFonts w:hint="eastAsia" w:ascii="宋体" w:hAnsi="宋体"/>
                <w:szCs w:val="21"/>
              </w:rPr>
              <w:t>有较好的售后服务响应时间、完善的服务计划与内容、合理的维保服务价格及备品备件价格、可靠的备品备件供货渠道，</w:t>
            </w:r>
            <w:r>
              <w:rPr>
                <w:rFonts w:hint="eastAsia" w:ascii="宋体" w:hAnsi="宋体" w:cs="宋体"/>
                <w:spacing w:val="-8"/>
                <w:szCs w:val="21"/>
              </w:rPr>
              <w:t>承诺的各项服务质量指标能较好的满足采购文件要求，能针对用户的实际需要提供延伸服务、便利服务等特色服务，保障措施切实有利得7-8分；</w:t>
            </w:r>
          </w:p>
          <w:p w14:paraId="020AC2B0">
            <w:pPr>
              <w:rPr>
                <w:rFonts w:ascii="宋体" w:hAnsi="宋体" w:cs="宋体"/>
                <w:spacing w:val="-8"/>
                <w:szCs w:val="21"/>
              </w:rPr>
            </w:pPr>
            <w:r>
              <w:rPr>
                <w:rFonts w:hint="eastAsia" w:ascii="宋体" w:hAnsi="宋体" w:cs="宋体"/>
                <w:spacing w:val="-8"/>
                <w:szCs w:val="21"/>
              </w:rPr>
              <w:t>（2）</w:t>
            </w:r>
            <w:r>
              <w:rPr>
                <w:rFonts w:hint="eastAsia" w:ascii="宋体" w:hAnsi="宋体"/>
                <w:szCs w:val="21"/>
              </w:rPr>
              <w:t>方案完整、符合行业规范但针对性不强，</w:t>
            </w:r>
            <w:r>
              <w:rPr>
                <w:rFonts w:hint="eastAsia" w:ascii="宋体" w:hAnsi="宋体" w:cs="宋体"/>
                <w:spacing w:val="-8"/>
                <w:szCs w:val="21"/>
              </w:rPr>
              <w:t>承诺的各项服务质量指标符合采购文件要求，有针对用户的实际需要提供延伸服务、便利服务及其他优惠承诺，保障措施可行但存在欠缺的得5-6分；</w:t>
            </w:r>
          </w:p>
          <w:p w14:paraId="5225C9FE">
            <w:pPr>
              <w:rPr>
                <w:rFonts w:ascii="宋体" w:hAnsi="宋体" w:cs="宋体"/>
                <w:spacing w:val="-8"/>
                <w:szCs w:val="21"/>
              </w:rPr>
            </w:pPr>
            <w:r>
              <w:rPr>
                <w:rFonts w:hint="eastAsia" w:ascii="宋体" w:hAnsi="宋体" w:cs="宋体"/>
                <w:spacing w:val="-8"/>
                <w:szCs w:val="21"/>
              </w:rPr>
              <w:t>（3）</w:t>
            </w:r>
            <w:r>
              <w:rPr>
                <w:rFonts w:hint="eastAsia" w:ascii="宋体" w:hAnsi="宋体"/>
                <w:szCs w:val="21"/>
              </w:rPr>
              <w:t>方案基本完整，</w:t>
            </w:r>
            <w:r>
              <w:rPr>
                <w:rFonts w:hint="eastAsia" w:ascii="宋体" w:hAnsi="宋体" w:cs="宋体"/>
                <w:spacing w:val="-8"/>
                <w:szCs w:val="21"/>
              </w:rPr>
              <w:t>承诺的各项服务质量指标基本能符合采购文件要求，有部分延伸服务、便利服务及其他优惠承诺，但可行性较差欠缺较多的得3-4分；</w:t>
            </w:r>
          </w:p>
          <w:p w14:paraId="35C1D73F">
            <w:pPr>
              <w:rPr>
                <w:rFonts w:ascii="宋体" w:hAnsi="宋体" w:cs="宋体"/>
                <w:spacing w:val="-8"/>
                <w:szCs w:val="21"/>
              </w:rPr>
            </w:pPr>
            <w:r>
              <w:rPr>
                <w:rFonts w:hint="eastAsia" w:ascii="宋体" w:hAnsi="宋体" w:cs="宋体"/>
                <w:spacing w:val="-8"/>
                <w:szCs w:val="21"/>
              </w:rPr>
              <w:t>（4）</w:t>
            </w:r>
            <w:r>
              <w:rPr>
                <w:rFonts w:hint="eastAsia" w:ascii="宋体" w:hAnsi="宋体"/>
                <w:szCs w:val="21"/>
              </w:rPr>
              <w:t>方案不完整或有不符合采购文件要求，</w:t>
            </w:r>
            <w:r>
              <w:rPr>
                <w:rFonts w:hint="eastAsia" w:ascii="宋体" w:hAnsi="宋体" w:cs="宋体"/>
                <w:spacing w:val="-8"/>
                <w:szCs w:val="21"/>
              </w:rPr>
              <w:t>承诺的各项服务质量指标不能完全符合采购文件要求，未能针对用户的实际需要提供延伸服务、便利服务及其他优惠承诺的得1-2分；</w:t>
            </w:r>
          </w:p>
          <w:p w14:paraId="7C0D36DC">
            <w:pPr>
              <w:rPr>
                <w:rFonts w:ascii="宋体" w:hAnsi="宋体"/>
                <w:szCs w:val="21"/>
              </w:rPr>
            </w:pPr>
            <w:r>
              <w:rPr>
                <w:rFonts w:hint="eastAsia" w:ascii="宋体" w:hAnsi="宋体" w:cs="宋体"/>
                <w:spacing w:val="-8"/>
                <w:szCs w:val="21"/>
              </w:rPr>
              <w:t>（5）未提供相应内容的不得分。</w:t>
            </w:r>
          </w:p>
        </w:tc>
        <w:tc>
          <w:tcPr>
            <w:tcW w:w="1252" w:type="dxa"/>
            <w:vAlign w:val="center"/>
          </w:tcPr>
          <w:p w14:paraId="0E92804E">
            <w:pPr>
              <w:jc w:val="center"/>
              <w:rPr>
                <w:rFonts w:ascii="宋体" w:hAnsi="宋体" w:cs="宋体"/>
                <w:szCs w:val="21"/>
              </w:rPr>
            </w:pPr>
            <w:r>
              <w:rPr>
                <w:rFonts w:hint="eastAsia" w:ascii="宋体" w:hAnsi="宋体" w:cs="宋体"/>
                <w:szCs w:val="21"/>
              </w:rPr>
              <w:t>8</w:t>
            </w:r>
          </w:p>
        </w:tc>
      </w:tr>
    </w:tbl>
    <w:p w14:paraId="1C62E4DA">
      <w:pPr>
        <w:pStyle w:val="2"/>
        <w:rPr>
          <w:lang w:val="en-US"/>
        </w:rPr>
      </w:pPr>
    </w:p>
    <w:p w14:paraId="3BA841E1">
      <w:bookmarkStart w:id="0" w:name="_GoBack"/>
      <w:bookmarkEnd w:id="0"/>
    </w:p>
    <w:sectPr>
      <w:pgSz w:w="11906" w:h="16838"/>
      <w:pgMar w:top="1497" w:right="1080" w:bottom="873"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F03C1"/>
    <w:rsid w:val="2FDF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autoSpaceDE w:val="0"/>
      <w:autoSpaceDN w:val="0"/>
      <w:ind w:left="2100"/>
    </w:pPr>
    <w:rPr>
      <w:rFonts w:eastAsia="仿宋" w:cs="仿宋"/>
      <w:sz w:val="22"/>
      <w:szCs w:val="22"/>
      <w:lang w:val="zh-CN" w:bidi="zh-CN"/>
    </w:rPr>
  </w:style>
  <w:style w:type="paragraph" w:customStyle="1" w:styleId="5">
    <w:name w:val="Default"/>
    <w:next w:val="2"/>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2026-07-06T01:59:00Z</dcterms:created>
  <dc:creator>ZLH</dc:creator>
  <cp:lastModifiedBy>ZLH</cp:lastModifiedBy>
  <dcterms:modified xsi:type="dcterms:W3CDTF">2026-07-06T02:00:04Z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1272410DD64548A3A0D7384DDE38A8BF_11</vt:lpwstr>
  </property>
  <property fmtid="{D5CDD505-2E9C-101B-9397-08002B2CF9AE}" pid="4" name="KSOTemplateDocerSaveRecord">
    <vt:lpwstr>eyJoZGlkIjoiN2VhNjk1NDU4YmM1NjY4ZjI0ZDc3OGVmOWJhMjg1MzAiLCJ1c2VySWQiOiI0MzgxNDUwNDAifQ==</vt:lpwstr>
  </property>
</Properties>
</file>