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334EE">
      <w:r>
        <w:rPr>
          <w:rFonts w:hint="eastAsia"/>
        </w:rPr>
        <w:t>评分标准：</w:t>
      </w:r>
    </w:p>
    <w:tbl>
      <w:tblPr>
        <w:tblStyle w:val="4"/>
        <w:tblW w:w="5904" w:type="pct"/>
        <w:tblInd w:w="-7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1389"/>
        <w:gridCol w:w="7241"/>
      </w:tblGrid>
      <w:tr w14:paraId="5A58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95" w:type="pct"/>
            <w:tcBorders>
              <w:top w:val="single" w:color="auto" w:sz="4" w:space="0"/>
              <w:left w:val="single" w:color="auto" w:sz="4" w:space="0"/>
              <w:bottom w:val="single" w:color="auto" w:sz="4" w:space="0"/>
              <w:right w:val="single" w:color="auto" w:sz="4" w:space="0"/>
            </w:tcBorders>
            <w:vAlign w:val="center"/>
          </w:tcPr>
          <w:p w14:paraId="532CEAA1">
            <w:pPr>
              <w:adjustRightInd w:val="0"/>
              <w:snapToGrid w:val="0"/>
              <w:spacing w:line="300" w:lineRule="auto"/>
              <w:jc w:val="center"/>
              <w:rPr>
                <w:rFonts w:ascii="宋体" w:hAnsi="宋体"/>
                <w:b/>
                <w:bCs/>
                <w:szCs w:val="21"/>
              </w:rPr>
            </w:pPr>
            <w:r>
              <w:rPr>
                <w:rFonts w:hint="eastAsia" w:ascii="宋体" w:hAnsi="宋体"/>
                <w:b/>
                <w:bCs/>
                <w:szCs w:val="21"/>
              </w:rPr>
              <w:t>评审因素</w:t>
            </w:r>
          </w:p>
        </w:tc>
        <w:tc>
          <w:tcPr>
            <w:tcW w:w="709" w:type="pct"/>
            <w:tcBorders>
              <w:top w:val="single" w:color="auto" w:sz="4" w:space="0"/>
              <w:left w:val="single" w:color="auto" w:sz="4" w:space="0"/>
              <w:bottom w:val="single" w:color="auto" w:sz="4" w:space="0"/>
              <w:right w:val="single" w:color="auto" w:sz="4" w:space="0"/>
            </w:tcBorders>
            <w:vAlign w:val="center"/>
          </w:tcPr>
          <w:p w14:paraId="7D31F43B">
            <w:pPr>
              <w:adjustRightInd w:val="0"/>
              <w:snapToGrid w:val="0"/>
              <w:spacing w:line="300" w:lineRule="auto"/>
              <w:jc w:val="center"/>
              <w:rPr>
                <w:rFonts w:ascii="宋体" w:hAnsi="宋体"/>
                <w:b/>
                <w:bCs/>
                <w:szCs w:val="21"/>
              </w:rPr>
            </w:pPr>
            <w:r>
              <w:rPr>
                <w:rFonts w:hint="eastAsia" w:ascii="宋体" w:hAnsi="宋体"/>
                <w:b/>
                <w:bCs/>
                <w:szCs w:val="21"/>
              </w:rPr>
              <w:t>评审细则</w:t>
            </w:r>
          </w:p>
          <w:p w14:paraId="00738229">
            <w:pPr>
              <w:adjustRightInd w:val="0"/>
              <w:snapToGrid w:val="0"/>
              <w:spacing w:line="300" w:lineRule="auto"/>
              <w:jc w:val="center"/>
              <w:rPr>
                <w:rFonts w:ascii="宋体" w:hAnsi="宋体"/>
                <w:b/>
                <w:bCs/>
                <w:szCs w:val="21"/>
              </w:rPr>
            </w:pPr>
            <w:r>
              <w:rPr>
                <w:rFonts w:hint="eastAsia" w:ascii="宋体" w:hAnsi="宋体"/>
                <w:b/>
                <w:bCs/>
                <w:szCs w:val="21"/>
              </w:rPr>
              <w:t>及分值</w:t>
            </w:r>
          </w:p>
        </w:tc>
        <w:tc>
          <w:tcPr>
            <w:tcW w:w="3696" w:type="pct"/>
            <w:tcBorders>
              <w:top w:val="single" w:color="auto" w:sz="4" w:space="0"/>
              <w:left w:val="single" w:color="auto" w:sz="4" w:space="0"/>
              <w:bottom w:val="single" w:color="auto" w:sz="4" w:space="0"/>
              <w:right w:val="single" w:color="auto" w:sz="4" w:space="0"/>
            </w:tcBorders>
            <w:vAlign w:val="center"/>
          </w:tcPr>
          <w:p w14:paraId="6A5502C8">
            <w:pPr>
              <w:adjustRightInd w:val="0"/>
              <w:snapToGrid w:val="0"/>
              <w:spacing w:line="300" w:lineRule="auto"/>
              <w:jc w:val="center"/>
              <w:rPr>
                <w:rFonts w:ascii="宋体" w:hAnsi="宋体"/>
                <w:b/>
                <w:bCs/>
                <w:szCs w:val="21"/>
              </w:rPr>
            </w:pPr>
            <w:r>
              <w:rPr>
                <w:rFonts w:hint="eastAsia" w:ascii="宋体" w:hAnsi="宋体"/>
                <w:b/>
                <w:bCs/>
                <w:szCs w:val="21"/>
              </w:rPr>
              <w:t>评审标准</w:t>
            </w:r>
          </w:p>
        </w:tc>
      </w:tr>
      <w:tr w14:paraId="72B8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95" w:type="pct"/>
            <w:tcBorders>
              <w:top w:val="single" w:color="auto" w:sz="4" w:space="0"/>
              <w:left w:val="single" w:color="auto" w:sz="4" w:space="0"/>
              <w:bottom w:val="single" w:color="auto" w:sz="4" w:space="0"/>
              <w:right w:val="single" w:color="auto" w:sz="4" w:space="0"/>
            </w:tcBorders>
            <w:vAlign w:val="center"/>
          </w:tcPr>
          <w:p w14:paraId="17DB1EAC">
            <w:pPr>
              <w:rPr>
                <w:rFonts w:hint="eastAsia" w:ascii="宋体" w:hAnsi="宋体"/>
                <w:b/>
                <w:bCs/>
                <w:szCs w:val="21"/>
              </w:rPr>
            </w:pPr>
            <w:r>
              <w:rPr>
                <w:rFonts w:hint="eastAsia" w:ascii="宋体" w:hAnsi="宋体"/>
                <w:b/>
                <w:bCs/>
                <w:szCs w:val="21"/>
              </w:rPr>
              <w:t>报价部分</w:t>
            </w:r>
          </w:p>
          <w:p w14:paraId="4C34717E">
            <w:pPr>
              <w:rPr>
                <w:rFonts w:hint="eastAsia" w:ascii="宋体" w:hAnsi="宋体"/>
                <w:b/>
                <w:bCs/>
                <w:szCs w:val="21"/>
              </w:rPr>
            </w:pPr>
            <w:r>
              <w:rPr>
                <w:rFonts w:hint="eastAsia" w:ascii="宋体" w:hAnsi="宋体"/>
                <w:b/>
                <w:bCs/>
                <w:szCs w:val="21"/>
              </w:rPr>
              <w:t>（30分）</w:t>
            </w:r>
          </w:p>
        </w:tc>
        <w:tc>
          <w:tcPr>
            <w:tcW w:w="709" w:type="pct"/>
            <w:tcBorders>
              <w:top w:val="single" w:color="auto" w:sz="4" w:space="0"/>
              <w:left w:val="single" w:color="auto" w:sz="4" w:space="0"/>
              <w:bottom w:val="single" w:color="auto" w:sz="4" w:space="0"/>
              <w:right w:val="single" w:color="auto" w:sz="4" w:space="0"/>
            </w:tcBorders>
            <w:vAlign w:val="center"/>
          </w:tcPr>
          <w:p w14:paraId="12F2D3C8">
            <w:pPr>
              <w:rPr>
                <w:rFonts w:hint="eastAsia" w:ascii="宋体" w:hAnsi="宋体"/>
                <w:b/>
                <w:bCs/>
                <w:szCs w:val="21"/>
              </w:rPr>
            </w:pPr>
            <w:r>
              <w:rPr>
                <w:rFonts w:hint="eastAsia" w:ascii="宋体" w:hAnsi="宋体"/>
                <w:b/>
                <w:bCs/>
                <w:szCs w:val="21"/>
              </w:rPr>
              <w:t>投标报价</w:t>
            </w:r>
          </w:p>
          <w:p w14:paraId="08B34D71">
            <w:pPr>
              <w:rPr>
                <w:rFonts w:hint="eastAsia" w:ascii="宋体" w:hAnsi="宋体"/>
                <w:b/>
                <w:bCs/>
                <w:szCs w:val="21"/>
              </w:rPr>
            </w:pPr>
            <w:r>
              <w:rPr>
                <w:rFonts w:hint="eastAsia" w:ascii="宋体" w:hAnsi="宋体"/>
                <w:b/>
                <w:bCs/>
                <w:szCs w:val="21"/>
              </w:rPr>
              <w:t>（30分）</w:t>
            </w:r>
          </w:p>
        </w:tc>
        <w:tc>
          <w:tcPr>
            <w:tcW w:w="3696" w:type="pct"/>
            <w:tcBorders>
              <w:top w:val="single" w:color="auto" w:sz="4" w:space="0"/>
              <w:left w:val="single" w:color="auto" w:sz="4" w:space="0"/>
              <w:bottom w:val="single" w:color="auto" w:sz="4" w:space="0"/>
              <w:right w:val="single" w:color="auto" w:sz="4" w:space="0"/>
            </w:tcBorders>
            <w:vAlign w:val="center"/>
          </w:tcPr>
          <w:p w14:paraId="61AE9ADA">
            <w:pPr>
              <w:rPr>
                <w:rFonts w:hint="eastAsia" w:ascii="宋体" w:hAnsi="宋体"/>
                <w:szCs w:val="21"/>
              </w:rPr>
            </w:pPr>
            <w:r>
              <w:rPr>
                <w:rFonts w:hint="eastAsia" w:ascii="宋体" w:hAnsi="宋体"/>
                <w:szCs w:val="21"/>
              </w:rPr>
              <w:t>一、计算合理基准价</w:t>
            </w:r>
          </w:p>
          <w:p w14:paraId="02777CE2">
            <w:pPr>
              <w:rPr>
                <w:rFonts w:hint="eastAsia" w:ascii="宋体" w:hAnsi="宋体"/>
                <w:szCs w:val="21"/>
              </w:rPr>
            </w:pPr>
            <w:r>
              <w:rPr>
                <w:rFonts w:hint="eastAsia" w:ascii="宋体" w:hAnsi="宋体"/>
                <w:szCs w:val="21"/>
              </w:rPr>
              <w:t>经评标委员会确认后，满足投标文件要求的所有有效投标单位，去掉一个最高报价、一个最低报价，然后用算术平均法求出本项目合理基准价。如果有效标商务评分价小于等于5家（含5家），则不再去掉最高报价和最低报价，全部参与算术平均。</w:t>
            </w:r>
          </w:p>
          <w:p w14:paraId="3CFE9BDB">
            <w:pPr>
              <w:rPr>
                <w:rFonts w:hint="eastAsia" w:ascii="宋体" w:hAnsi="宋体"/>
                <w:szCs w:val="21"/>
              </w:rPr>
            </w:pPr>
            <w:r>
              <w:rPr>
                <w:rFonts w:hint="eastAsia" w:ascii="宋体" w:hAnsi="宋体"/>
                <w:szCs w:val="21"/>
              </w:rPr>
              <w:t>二、计算得分</w:t>
            </w:r>
          </w:p>
          <w:p w14:paraId="0EADEB6B">
            <w:pPr>
              <w:rPr>
                <w:rFonts w:hint="eastAsia" w:ascii="宋体" w:hAnsi="宋体"/>
                <w:szCs w:val="21"/>
              </w:rPr>
            </w:pPr>
            <w:r>
              <w:rPr>
                <w:rFonts w:hint="eastAsia" w:ascii="宋体" w:hAnsi="宋体"/>
                <w:szCs w:val="21"/>
              </w:rPr>
              <w:t>1、报价最高和报价最低的投标人得分25分；</w:t>
            </w:r>
          </w:p>
          <w:p w14:paraId="412D1D98">
            <w:pPr>
              <w:rPr>
                <w:rFonts w:hint="eastAsia" w:ascii="宋体" w:hAnsi="宋体"/>
                <w:szCs w:val="21"/>
              </w:rPr>
            </w:pPr>
            <w:r>
              <w:rPr>
                <w:rFonts w:hint="eastAsia" w:ascii="宋体" w:hAnsi="宋体"/>
                <w:szCs w:val="21"/>
              </w:rPr>
              <w:t>2、低于合理基准价且最接近合理基准价的一家投标人得30分；</w:t>
            </w:r>
          </w:p>
          <w:p w14:paraId="7AD5331F">
            <w:pPr>
              <w:rPr>
                <w:rFonts w:hint="eastAsia" w:ascii="宋体" w:hAnsi="宋体"/>
                <w:szCs w:val="21"/>
              </w:rPr>
            </w:pPr>
            <w:r>
              <w:rPr>
                <w:rFonts w:hint="eastAsia" w:ascii="宋体" w:hAnsi="宋体"/>
                <w:szCs w:val="21"/>
              </w:rPr>
              <w:t>3、其余低于合理基准价的投标人得28分；其余高于合理基准价的投标人得27分</w:t>
            </w:r>
          </w:p>
          <w:p w14:paraId="60172379">
            <w:pPr>
              <w:rPr>
                <w:rFonts w:hint="eastAsia" w:ascii="宋体" w:hAnsi="宋体"/>
                <w:szCs w:val="21"/>
              </w:rPr>
            </w:pPr>
            <w:r>
              <w:rPr>
                <w:rFonts w:hint="eastAsia" w:ascii="宋体" w:hAnsi="宋体"/>
                <w:szCs w:val="21"/>
              </w:rPr>
              <w:t>注：若低于合理基准价的投标人只有一家，则该投标人得28分,若高于合理基准价的投标人只有一家，则该投标人得25分。</w:t>
            </w:r>
          </w:p>
        </w:tc>
      </w:tr>
      <w:tr w14:paraId="6299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95" w:type="pct"/>
            <w:vMerge w:val="restart"/>
            <w:tcBorders>
              <w:top w:val="single" w:color="auto" w:sz="4" w:space="0"/>
              <w:left w:val="single" w:color="auto" w:sz="4" w:space="0"/>
              <w:right w:val="single" w:color="auto" w:sz="4" w:space="0"/>
            </w:tcBorders>
            <w:vAlign w:val="center"/>
          </w:tcPr>
          <w:p w14:paraId="32A48E4D">
            <w:pPr>
              <w:rPr>
                <w:rFonts w:hint="eastAsia" w:ascii="宋体" w:hAnsi="宋体"/>
                <w:b/>
                <w:bCs/>
                <w:szCs w:val="21"/>
              </w:rPr>
            </w:pPr>
            <w:r>
              <w:rPr>
                <w:rFonts w:hint="eastAsia" w:ascii="宋体" w:hAnsi="宋体"/>
                <w:b/>
                <w:bCs/>
                <w:szCs w:val="21"/>
              </w:rPr>
              <w:t>技术评审</w:t>
            </w:r>
          </w:p>
          <w:p w14:paraId="6DF3E3A1">
            <w:pPr>
              <w:rPr>
                <w:rFonts w:hint="eastAsia" w:ascii="宋体" w:hAnsi="宋体"/>
                <w:szCs w:val="21"/>
              </w:rPr>
            </w:pPr>
            <w:r>
              <w:rPr>
                <w:rFonts w:hint="eastAsia" w:ascii="宋体" w:hAnsi="宋体"/>
                <w:b/>
                <w:bCs/>
                <w:szCs w:val="21"/>
              </w:rPr>
              <w:t>（40分）</w:t>
            </w:r>
            <w:bookmarkStart w:id="0" w:name="_GoBack"/>
            <w:bookmarkEnd w:id="0"/>
          </w:p>
        </w:tc>
        <w:tc>
          <w:tcPr>
            <w:tcW w:w="709" w:type="pct"/>
            <w:tcBorders>
              <w:top w:val="single" w:color="auto" w:sz="4" w:space="0"/>
              <w:left w:val="single" w:color="auto" w:sz="4" w:space="0"/>
              <w:bottom w:val="single" w:color="auto" w:sz="4" w:space="0"/>
              <w:right w:val="single" w:color="auto" w:sz="4" w:space="0"/>
            </w:tcBorders>
            <w:vAlign w:val="center"/>
          </w:tcPr>
          <w:p w14:paraId="40709884">
            <w:pPr>
              <w:rPr>
                <w:rFonts w:hint="eastAsia" w:ascii="宋体" w:hAnsi="宋体"/>
                <w:b/>
                <w:bCs/>
                <w:szCs w:val="21"/>
              </w:rPr>
            </w:pPr>
            <w:r>
              <w:rPr>
                <w:rFonts w:hint="eastAsia" w:ascii="宋体" w:hAnsi="宋体"/>
                <w:b/>
                <w:bCs/>
                <w:szCs w:val="21"/>
              </w:rPr>
              <w:t>产品配置及技术参数</w:t>
            </w:r>
          </w:p>
          <w:p w14:paraId="3A97D1B3">
            <w:pPr>
              <w:rPr>
                <w:rFonts w:hint="eastAsia" w:ascii="宋体" w:hAnsi="宋体"/>
                <w:szCs w:val="21"/>
              </w:rPr>
            </w:pPr>
            <w:r>
              <w:rPr>
                <w:rFonts w:hint="eastAsia" w:ascii="宋体" w:hAnsi="宋体"/>
                <w:b/>
                <w:bCs/>
                <w:szCs w:val="21"/>
              </w:rPr>
              <w:t>（30分）</w:t>
            </w:r>
          </w:p>
        </w:tc>
        <w:tc>
          <w:tcPr>
            <w:tcW w:w="3696" w:type="pct"/>
            <w:tcBorders>
              <w:top w:val="single" w:color="auto" w:sz="4" w:space="0"/>
              <w:left w:val="single" w:color="auto" w:sz="4" w:space="0"/>
              <w:bottom w:val="single" w:color="auto" w:sz="4" w:space="0"/>
              <w:right w:val="single" w:color="auto" w:sz="4" w:space="0"/>
            </w:tcBorders>
            <w:vAlign w:val="center"/>
          </w:tcPr>
          <w:p w14:paraId="6D54A062">
            <w:pPr>
              <w:rPr>
                <w:rFonts w:hint="eastAsia" w:ascii="宋体" w:hAnsi="宋体"/>
                <w:szCs w:val="21"/>
              </w:rPr>
            </w:pPr>
            <w:r>
              <w:rPr>
                <w:rFonts w:hint="eastAsia" w:ascii="宋体" w:hAnsi="宋体"/>
                <w:szCs w:val="21"/>
              </w:rPr>
              <w:t>完全满足采购文件技术指标的计30</w:t>
            </w:r>
            <w:r>
              <w:rPr>
                <w:rFonts w:hint="eastAsia" w:ascii="宋体" w:hAnsi="宋体"/>
                <w:szCs w:val="21"/>
              </w:rPr>
              <w:t>分，技术指标每偏离一项扣2分；如应答时缺项，则视同负偏离处理。</w:t>
            </w:r>
          </w:p>
        </w:tc>
      </w:tr>
      <w:tr w14:paraId="34E7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95" w:type="pct"/>
            <w:vMerge w:val="continue"/>
            <w:tcBorders>
              <w:left w:val="single" w:color="auto" w:sz="4" w:space="0"/>
              <w:bottom w:val="single" w:color="auto" w:sz="4" w:space="0"/>
              <w:right w:val="single" w:color="auto" w:sz="4" w:space="0"/>
            </w:tcBorders>
            <w:vAlign w:val="center"/>
          </w:tcPr>
          <w:p w14:paraId="3F6A3EBE">
            <w:pPr>
              <w:rPr>
                <w:rFonts w:hint="eastAsia" w:ascii="宋体" w:hAnsi="宋体"/>
                <w:szCs w:val="21"/>
              </w:rPr>
            </w:pPr>
          </w:p>
        </w:tc>
        <w:tc>
          <w:tcPr>
            <w:tcW w:w="709" w:type="pct"/>
            <w:tcBorders>
              <w:top w:val="single" w:color="auto" w:sz="4" w:space="0"/>
              <w:left w:val="single" w:color="auto" w:sz="4" w:space="0"/>
              <w:bottom w:val="single" w:color="auto" w:sz="4" w:space="0"/>
              <w:right w:val="single" w:color="auto" w:sz="4" w:space="0"/>
            </w:tcBorders>
            <w:vAlign w:val="center"/>
          </w:tcPr>
          <w:p w14:paraId="69F5CE72">
            <w:pPr>
              <w:rPr>
                <w:rFonts w:hint="eastAsia" w:ascii="宋体" w:hAnsi="宋体"/>
                <w:b/>
                <w:bCs/>
                <w:szCs w:val="21"/>
              </w:rPr>
            </w:pPr>
            <w:r>
              <w:rPr>
                <w:rFonts w:hint="eastAsia" w:ascii="宋体" w:hAnsi="宋体"/>
                <w:b/>
                <w:bCs/>
                <w:szCs w:val="21"/>
              </w:rPr>
              <w:t>产品兼容和可靠性</w:t>
            </w:r>
          </w:p>
          <w:p w14:paraId="15FDD9F0">
            <w:pPr>
              <w:rPr>
                <w:rFonts w:hint="eastAsia" w:ascii="宋体" w:hAnsi="宋体"/>
                <w:szCs w:val="21"/>
              </w:rPr>
            </w:pPr>
            <w:r>
              <w:rPr>
                <w:rFonts w:hint="eastAsia" w:ascii="宋体" w:hAnsi="宋体"/>
                <w:b/>
                <w:bCs/>
                <w:szCs w:val="21"/>
              </w:rPr>
              <w:t>（10分）</w:t>
            </w:r>
          </w:p>
        </w:tc>
        <w:tc>
          <w:tcPr>
            <w:tcW w:w="3696" w:type="pct"/>
            <w:tcBorders>
              <w:top w:val="single" w:color="auto" w:sz="4" w:space="0"/>
              <w:left w:val="single" w:color="auto" w:sz="4" w:space="0"/>
              <w:bottom w:val="single" w:color="auto" w:sz="4" w:space="0"/>
              <w:right w:val="single" w:color="auto" w:sz="4" w:space="0"/>
            </w:tcBorders>
            <w:vAlign w:val="center"/>
          </w:tcPr>
          <w:p w14:paraId="469E7C97">
            <w:pPr>
              <w:rPr>
                <w:rFonts w:hint="eastAsia" w:ascii="宋体" w:hAnsi="宋体"/>
                <w:szCs w:val="21"/>
              </w:rPr>
            </w:pPr>
            <w:r>
              <w:rPr>
                <w:rFonts w:hint="eastAsia" w:ascii="宋体" w:hAnsi="宋体"/>
                <w:szCs w:val="21"/>
              </w:rPr>
              <w:t>1、资源须兼容并部署学院现有</w:t>
            </w:r>
            <w:r>
              <w:rPr>
                <w:rFonts w:hint="eastAsia" w:ascii="宋体" w:hAnsi="宋体"/>
                <w:szCs w:val="21"/>
              </w:rPr>
              <w:t>实训平台使用，提供资源所在平台的界面证明。符合要求得3分，资料不符或者未提供得0分。</w:t>
            </w:r>
          </w:p>
          <w:p w14:paraId="491E93BB">
            <w:pPr>
              <w:rPr>
                <w:rFonts w:hint="eastAsia" w:ascii="宋体" w:hAnsi="宋体"/>
                <w:szCs w:val="21"/>
              </w:rPr>
            </w:pPr>
            <w:r>
              <w:rPr>
                <w:rFonts w:hint="eastAsia" w:ascii="宋体" w:hAnsi="宋体"/>
                <w:szCs w:val="21"/>
              </w:rPr>
              <w:t>2、投标人或生产厂家具备支持中华人民共和国第三届国赛软件测试项目的能力，提供技术支持佐证材料得5分，资料不符或者未提供得0分。</w:t>
            </w:r>
          </w:p>
          <w:p w14:paraId="351655D6">
            <w:pPr>
              <w:rPr>
                <w:rFonts w:hint="eastAsia" w:ascii="宋体" w:hAnsi="宋体"/>
                <w:szCs w:val="21"/>
              </w:rPr>
            </w:pPr>
            <w:r>
              <w:rPr>
                <w:rFonts w:hint="eastAsia" w:ascii="宋体" w:hAnsi="宋体"/>
                <w:szCs w:val="21"/>
              </w:rPr>
              <w:t>3、提供“软件测试管理系统”计算机软件著作权证书，软件著作权证书以中国版权保护中心（https://www.ccopyright.com.cn/）官方网站的查询截图和证书复印件为准，得2分。</w:t>
            </w:r>
          </w:p>
        </w:tc>
      </w:tr>
      <w:tr w14:paraId="33E6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95" w:type="pct"/>
            <w:vMerge w:val="restart"/>
            <w:tcBorders>
              <w:left w:val="single" w:color="auto" w:sz="4" w:space="0"/>
              <w:right w:val="single" w:color="auto" w:sz="4" w:space="0"/>
            </w:tcBorders>
            <w:vAlign w:val="center"/>
          </w:tcPr>
          <w:p w14:paraId="3795705C">
            <w:pPr>
              <w:adjustRightInd w:val="0"/>
              <w:snapToGrid w:val="0"/>
              <w:spacing w:line="300" w:lineRule="auto"/>
              <w:jc w:val="center"/>
              <w:rPr>
                <w:rFonts w:ascii="宋体" w:hAnsi="宋体"/>
                <w:b/>
                <w:bCs/>
                <w:szCs w:val="21"/>
              </w:rPr>
            </w:pPr>
            <w:r>
              <w:rPr>
                <w:rFonts w:hint="eastAsia" w:ascii="宋体" w:hAnsi="宋体"/>
                <w:b/>
                <w:bCs/>
                <w:szCs w:val="21"/>
              </w:rPr>
              <w:t>商务评审（30分）</w:t>
            </w:r>
          </w:p>
        </w:tc>
        <w:tc>
          <w:tcPr>
            <w:tcW w:w="709" w:type="pct"/>
            <w:tcBorders>
              <w:left w:val="single" w:color="auto" w:sz="4" w:space="0"/>
              <w:right w:val="single" w:color="auto" w:sz="4" w:space="0"/>
            </w:tcBorders>
            <w:vAlign w:val="center"/>
          </w:tcPr>
          <w:p w14:paraId="7B044638">
            <w:pPr>
              <w:adjustRightInd w:val="0"/>
              <w:snapToGrid w:val="0"/>
              <w:spacing w:line="300" w:lineRule="auto"/>
              <w:jc w:val="center"/>
              <w:textAlignment w:val="center"/>
              <w:rPr>
                <w:rFonts w:ascii="宋体" w:hAnsi="宋体"/>
                <w:b/>
                <w:bCs w:val="0"/>
                <w:szCs w:val="21"/>
              </w:rPr>
            </w:pPr>
            <w:r>
              <w:rPr>
                <w:rFonts w:hint="eastAsia" w:ascii="宋体" w:hAnsi="宋体"/>
                <w:b/>
                <w:bCs w:val="0"/>
                <w:szCs w:val="21"/>
              </w:rPr>
              <w:t>供货方案</w:t>
            </w:r>
          </w:p>
          <w:p w14:paraId="6E06D983">
            <w:pPr>
              <w:adjustRightInd w:val="0"/>
              <w:snapToGrid w:val="0"/>
              <w:spacing w:line="300" w:lineRule="auto"/>
              <w:jc w:val="center"/>
              <w:textAlignment w:val="center"/>
              <w:rPr>
                <w:rFonts w:ascii="宋体" w:hAnsi="宋体"/>
                <w:b/>
                <w:szCs w:val="21"/>
              </w:rPr>
            </w:pPr>
            <w:r>
              <w:rPr>
                <w:rFonts w:hint="eastAsia" w:ascii="宋体" w:hAnsi="宋体"/>
                <w:b/>
                <w:bCs w:val="0"/>
                <w:szCs w:val="21"/>
              </w:rPr>
              <w:t>（10分）</w:t>
            </w:r>
          </w:p>
        </w:tc>
        <w:tc>
          <w:tcPr>
            <w:tcW w:w="3696" w:type="pct"/>
            <w:tcBorders>
              <w:top w:val="single" w:color="auto" w:sz="4" w:space="0"/>
              <w:left w:val="single" w:color="auto" w:sz="4" w:space="0"/>
              <w:bottom w:val="single" w:color="auto" w:sz="4" w:space="0"/>
              <w:right w:val="single" w:color="auto" w:sz="4" w:space="0"/>
            </w:tcBorders>
            <w:vAlign w:val="center"/>
          </w:tcPr>
          <w:p w14:paraId="17D36A82">
            <w:pPr>
              <w:rPr>
                <w:rFonts w:ascii="宋体" w:hAnsi="宋体"/>
                <w:szCs w:val="21"/>
              </w:rPr>
            </w:pPr>
            <w:r>
              <w:rPr>
                <w:rFonts w:hint="eastAsia" w:ascii="宋体" w:hAnsi="宋体"/>
                <w:szCs w:val="21"/>
              </w:rPr>
              <w:t>项目供货方案的完整性，根据项目供货周期保证措施、具体违约责任承诺等顺利供货的因素进行评分。</w:t>
            </w:r>
          </w:p>
          <w:p w14:paraId="24A9B0B4">
            <w:pPr>
              <w:rPr>
                <w:rFonts w:ascii="宋体" w:hAnsi="宋体"/>
                <w:szCs w:val="21"/>
              </w:rPr>
            </w:pPr>
            <w:r>
              <w:rPr>
                <w:rFonts w:hint="eastAsia" w:ascii="宋体" w:hAnsi="宋体"/>
                <w:szCs w:val="21"/>
              </w:rPr>
              <w:t>供货方案内容齐全、科学、操作性及针对性强的，得6-10分；</w:t>
            </w:r>
          </w:p>
          <w:p w14:paraId="1CECBB11">
            <w:pPr>
              <w:rPr>
                <w:rFonts w:ascii="宋体" w:hAnsi="宋体"/>
                <w:szCs w:val="21"/>
              </w:rPr>
            </w:pPr>
            <w:r>
              <w:rPr>
                <w:rFonts w:hint="eastAsia" w:ascii="宋体" w:hAnsi="宋体"/>
                <w:szCs w:val="21"/>
              </w:rPr>
              <w:t>供货方案内容比较齐全、比较科学、操作性及针对性比较强的，得1-5分；</w:t>
            </w:r>
          </w:p>
          <w:p w14:paraId="40D12E34">
            <w:r>
              <w:rPr>
                <w:rFonts w:hint="eastAsia" w:ascii="宋体" w:hAnsi="宋体"/>
                <w:szCs w:val="21"/>
              </w:rPr>
              <w:t>供货方案中每有一项描述不完整，阐述不明确、不合理、操作性及针对性不强的，得0分。</w:t>
            </w:r>
          </w:p>
        </w:tc>
      </w:tr>
      <w:tr w14:paraId="5E3B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95" w:type="pct"/>
            <w:vMerge w:val="continue"/>
            <w:tcBorders>
              <w:left w:val="single" w:color="auto" w:sz="4" w:space="0"/>
              <w:right w:val="single" w:color="auto" w:sz="4" w:space="0"/>
            </w:tcBorders>
            <w:vAlign w:val="center"/>
          </w:tcPr>
          <w:p w14:paraId="2575FDA7">
            <w:pPr>
              <w:adjustRightInd w:val="0"/>
              <w:snapToGrid w:val="0"/>
              <w:spacing w:line="300" w:lineRule="auto"/>
              <w:jc w:val="center"/>
              <w:rPr>
                <w:rFonts w:ascii="宋体" w:hAnsi="宋体"/>
                <w:b/>
                <w:bCs/>
                <w:szCs w:val="21"/>
              </w:rPr>
            </w:pPr>
          </w:p>
        </w:tc>
        <w:tc>
          <w:tcPr>
            <w:tcW w:w="709" w:type="pct"/>
            <w:tcBorders>
              <w:left w:val="single" w:color="auto" w:sz="4" w:space="0"/>
              <w:bottom w:val="single" w:color="auto" w:sz="4" w:space="0"/>
              <w:right w:val="single" w:color="auto" w:sz="4" w:space="0"/>
            </w:tcBorders>
            <w:vAlign w:val="center"/>
          </w:tcPr>
          <w:p w14:paraId="3A90BBA5">
            <w:pPr>
              <w:adjustRightInd w:val="0"/>
              <w:snapToGrid w:val="0"/>
              <w:spacing w:line="300" w:lineRule="auto"/>
              <w:jc w:val="center"/>
              <w:textAlignment w:val="center"/>
              <w:rPr>
                <w:rFonts w:ascii="宋体" w:hAnsi="宋体"/>
                <w:b/>
                <w:szCs w:val="21"/>
              </w:rPr>
            </w:pPr>
            <w:r>
              <w:rPr>
                <w:rFonts w:hint="eastAsia" w:ascii="宋体" w:hAnsi="宋体"/>
                <w:b/>
                <w:szCs w:val="21"/>
              </w:rPr>
              <w:t>实施方案</w:t>
            </w:r>
          </w:p>
          <w:p w14:paraId="5D7B89D2">
            <w:pPr>
              <w:adjustRightInd w:val="0"/>
              <w:snapToGrid w:val="0"/>
              <w:spacing w:line="300" w:lineRule="auto"/>
              <w:jc w:val="center"/>
              <w:textAlignment w:val="center"/>
              <w:rPr>
                <w:rFonts w:ascii="宋体" w:hAnsi="宋体"/>
                <w:b/>
                <w:szCs w:val="21"/>
              </w:rPr>
            </w:pPr>
            <w:r>
              <w:rPr>
                <w:rFonts w:hint="eastAsia" w:ascii="宋体" w:hAnsi="宋体"/>
                <w:b/>
                <w:szCs w:val="21"/>
              </w:rPr>
              <w:t>（10分）</w:t>
            </w:r>
          </w:p>
        </w:tc>
        <w:tc>
          <w:tcPr>
            <w:tcW w:w="3696" w:type="pct"/>
            <w:tcBorders>
              <w:top w:val="single" w:color="auto" w:sz="4" w:space="0"/>
              <w:left w:val="single" w:color="auto" w:sz="4" w:space="0"/>
              <w:bottom w:val="single" w:color="auto" w:sz="4" w:space="0"/>
              <w:right w:val="single" w:color="auto" w:sz="4" w:space="0"/>
            </w:tcBorders>
            <w:vAlign w:val="center"/>
          </w:tcPr>
          <w:p w14:paraId="6763382B">
            <w:pPr>
              <w:pStyle w:val="3"/>
              <w:adjustRightInd w:val="0"/>
              <w:snapToGrid w:val="0"/>
              <w:spacing w:line="300" w:lineRule="auto"/>
              <w:rPr>
                <w:rFonts w:ascii="宋体" w:hAnsi="宋体"/>
                <w:szCs w:val="21"/>
              </w:rPr>
            </w:pPr>
            <w:r>
              <w:rPr>
                <w:rFonts w:hint="eastAsia" w:ascii="宋体" w:hAnsi="宋体"/>
                <w:szCs w:val="21"/>
              </w:rPr>
              <w:t>项目实施方案的完整性，根据项目进度计划安排的合理性，交付、安装、调试、测试、人员配备等保障项目顺利实施的因素进行评分。</w:t>
            </w:r>
          </w:p>
          <w:p w14:paraId="646EC5A0">
            <w:pPr>
              <w:pStyle w:val="3"/>
              <w:adjustRightInd w:val="0"/>
              <w:snapToGrid w:val="0"/>
              <w:spacing w:line="300" w:lineRule="auto"/>
              <w:rPr>
                <w:rFonts w:ascii="宋体" w:hAnsi="宋体"/>
                <w:szCs w:val="21"/>
              </w:rPr>
            </w:pPr>
            <w:r>
              <w:rPr>
                <w:rFonts w:hint="eastAsia" w:ascii="宋体" w:hAnsi="宋体"/>
                <w:szCs w:val="21"/>
              </w:rPr>
              <w:t>实施方案合理、完整、保障性强、针对性强得6-10分。</w:t>
            </w:r>
          </w:p>
          <w:p w14:paraId="08A07C92">
            <w:pPr>
              <w:pStyle w:val="3"/>
              <w:adjustRightInd w:val="0"/>
              <w:snapToGrid w:val="0"/>
              <w:spacing w:line="300" w:lineRule="auto"/>
              <w:rPr>
                <w:rFonts w:ascii="宋体" w:hAnsi="宋体"/>
                <w:szCs w:val="21"/>
              </w:rPr>
            </w:pPr>
            <w:r>
              <w:rPr>
                <w:rFonts w:hint="eastAsia" w:ascii="宋体" w:hAnsi="宋体"/>
                <w:szCs w:val="21"/>
              </w:rPr>
              <w:t>实施方案较为合理、完整、针对性一般得1-5分。</w:t>
            </w:r>
          </w:p>
          <w:p w14:paraId="0FD7A0AB">
            <w:pPr>
              <w:pStyle w:val="3"/>
              <w:adjustRightInd w:val="0"/>
              <w:snapToGrid w:val="0"/>
              <w:spacing w:line="300" w:lineRule="auto"/>
              <w:rPr>
                <w:rFonts w:ascii="宋体" w:hAnsi="宋体"/>
                <w:szCs w:val="21"/>
              </w:rPr>
            </w:pPr>
            <w:r>
              <w:rPr>
                <w:rFonts w:hint="eastAsia" w:ascii="宋体" w:hAnsi="宋体"/>
                <w:szCs w:val="21"/>
              </w:rPr>
              <w:t>实施方案每有一项不合理、不完整或缺项的，得0分。</w:t>
            </w:r>
          </w:p>
        </w:tc>
      </w:tr>
      <w:tr w14:paraId="661F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95" w:type="pct"/>
            <w:vMerge w:val="continue"/>
            <w:tcBorders>
              <w:left w:val="single" w:color="auto" w:sz="4" w:space="0"/>
              <w:right w:val="single" w:color="auto" w:sz="4" w:space="0"/>
            </w:tcBorders>
            <w:vAlign w:val="center"/>
          </w:tcPr>
          <w:p w14:paraId="2AABDC4C">
            <w:pPr>
              <w:adjustRightInd w:val="0"/>
              <w:snapToGrid w:val="0"/>
              <w:spacing w:line="300" w:lineRule="auto"/>
              <w:jc w:val="center"/>
              <w:rPr>
                <w:rFonts w:ascii="宋体" w:hAnsi="宋体"/>
                <w:b/>
                <w:bCs/>
                <w:szCs w:val="21"/>
              </w:rPr>
            </w:pPr>
          </w:p>
        </w:tc>
        <w:tc>
          <w:tcPr>
            <w:tcW w:w="709" w:type="pct"/>
            <w:tcBorders>
              <w:left w:val="single" w:color="auto" w:sz="4" w:space="0"/>
              <w:bottom w:val="single" w:color="auto" w:sz="4" w:space="0"/>
              <w:right w:val="single" w:color="auto" w:sz="4" w:space="0"/>
            </w:tcBorders>
            <w:vAlign w:val="center"/>
          </w:tcPr>
          <w:p w14:paraId="1E2F1E96">
            <w:pPr>
              <w:adjustRightInd w:val="0"/>
              <w:snapToGrid w:val="0"/>
              <w:spacing w:line="300" w:lineRule="auto"/>
              <w:jc w:val="center"/>
              <w:textAlignment w:val="center"/>
              <w:rPr>
                <w:rFonts w:ascii="宋体" w:hAnsi="宋体"/>
                <w:b/>
                <w:szCs w:val="21"/>
              </w:rPr>
            </w:pPr>
            <w:r>
              <w:rPr>
                <w:rFonts w:hint="eastAsia" w:ascii="宋体" w:hAnsi="宋体"/>
                <w:b/>
                <w:szCs w:val="21"/>
              </w:rPr>
              <w:t>售后服务方案</w:t>
            </w:r>
          </w:p>
          <w:p w14:paraId="10B52534">
            <w:pPr>
              <w:adjustRightInd w:val="0"/>
              <w:snapToGrid w:val="0"/>
              <w:spacing w:line="300" w:lineRule="auto"/>
              <w:jc w:val="center"/>
              <w:textAlignment w:val="center"/>
              <w:rPr>
                <w:rFonts w:ascii="宋体" w:hAnsi="宋体"/>
                <w:b/>
                <w:szCs w:val="21"/>
              </w:rPr>
            </w:pPr>
            <w:r>
              <w:rPr>
                <w:rFonts w:hint="eastAsia" w:ascii="宋体" w:hAnsi="宋体"/>
                <w:b/>
                <w:szCs w:val="21"/>
              </w:rPr>
              <w:t>（10分）</w:t>
            </w:r>
          </w:p>
        </w:tc>
        <w:tc>
          <w:tcPr>
            <w:tcW w:w="3696" w:type="pct"/>
            <w:tcBorders>
              <w:top w:val="single" w:color="auto" w:sz="4" w:space="0"/>
              <w:left w:val="single" w:color="auto" w:sz="4" w:space="0"/>
              <w:bottom w:val="single" w:color="auto" w:sz="4" w:space="0"/>
              <w:right w:val="single" w:color="auto" w:sz="4" w:space="0"/>
            </w:tcBorders>
            <w:vAlign w:val="center"/>
          </w:tcPr>
          <w:p w14:paraId="10610506">
            <w:pPr>
              <w:adjustRightInd w:val="0"/>
              <w:snapToGrid w:val="0"/>
              <w:spacing w:line="300" w:lineRule="auto"/>
              <w:textAlignment w:val="center"/>
              <w:rPr>
                <w:rFonts w:ascii="宋体" w:hAnsi="宋体"/>
                <w:szCs w:val="21"/>
              </w:rPr>
            </w:pPr>
            <w:r>
              <w:rPr>
                <w:rFonts w:hint="eastAsia" w:ascii="宋体" w:hAnsi="宋体"/>
                <w:szCs w:val="21"/>
              </w:rPr>
              <w:t>项目售后服务方案的可行性，根据项目售后服务体系的合理性，故障响应时间、服务期限、相关培训等保障售后服务的因素进行评分。</w:t>
            </w:r>
          </w:p>
          <w:p w14:paraId="5747878F">
            <w:r>
              <w:rPr>
                <w:rFonts w:hint="eastAsia"/>
              </w:rPr>
              <w:t>1、服务体系：服务团队、联络渠道、本地服务能力完善得 2 分，不完善按情况扣减。</w:t>
            </w:r>
          </w:p>
          <w:p w14:paraId="6E284EAA">
            <w:r>
              <w:rPr>
                <w:rFonts w:hint="eastAsia"/>
              </w:rPr>
              <w:t>2、故障处置：7×24 小时值守，响应及到场时效优、具备应急方案得 3 分。</w:t>
            </w:r>
          </w:p>
          <w:p w14:paraId="1B5EC82C">
            <w:r>
              <w:rPr>
                <w:rFonts w:hint="eastAsia"/>
              </w:rPr>
              <w:t>3、质保服务：质保期限、免费维保及优化服务优于要求得 2 分。</w:t>
            </w:r>
          </w:p>
          <w:p w14:paraId="1E31EF91">
            <w:r>
              <w:rPr>
                <w:rFonts w:hint="eastAsia"/>
              </w:rPr>
              <w:t>4、培训与后续服务：培训、配套文档、质保外服务承诺完整得 2 分。</w:t>
            </w:r>
          </w:p>
          <w:p w14:paraId="4EB3E32F">
            <w:r>
              <w:rPr>
                <w:rFonts w:hint="eastAsia"/>
              </w:rPr>
              <w:t>5、服务管理：有服务记录、回访机制得 1 分。</w:t>
            </w:r>
          </w:p>
        </w:tc>
      </w:tr>
    </w:tbl>
    <w:p w14:paraId="6731E9C1"/>
    <w:sectPr>
      <w:pgSz w:w="11906" w:h="16838"/>
      <w:pgMar w:top="567" w:right="1800" w:bottom="873"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6BE"/>
    <w:rsid w:val="00170F94"/>
    <w:rsid w:val="00350E95"/>
    <w:rsid w:val="00871774"/>
    <w:rsid w:val="00E166BE"/>
    <w:rsid w:val="27850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
    <w:qFormat/>
    <w:uiPriority w:val="0"/>
    <w:pPr>
      <w:spacing w:after="120"/>
    </w:pPr>
  </w:style>
  <w:style w:type="paragraph" w:styleId="3">
    <w:name w:val="annotation text"/>
    <w:basedOn w:val="1"/>
    <w:link w:val="7"/>
    <w:qFormat/>
    <w:uiPriority w:val="0"/>
    <w:pPr>
      <w:jc w:val="left"/>
    </w:pPr>
  </w:style>
  <w:style w:type="character" w:customStyle="1" w:styleId="6">
    <w:name w:val="正文文本 字符"/>
    <w:basedOn w:val="5"/>
    <w:link w:val="2"/>
    <w:uiPriority w:val="0"/>
    <w:rPr>
      <w:rFonts w:ascii="Calibri" w:hAnsi="Calibri" w:eastAsia="宋体" w:cs="宋体"/>
      <w:szCs w:val="24"/>
    </w:rPr>
  </w:style>
  <w:style w:type="character" w:customStyle="1" w:styleId="7">
    <w:name w:val="批注文字 字符"/>
    <w:basedOn w:val="5"/>
    <w:link w:val="3"/>
    <w:uiPriority w:val="0"/>
    <w:rPr>
      <w:rFonts w:ascii="Calibri" w:hAnsi="Calibri" w:eastAsia="宋体" w:cs="宋体"/>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1077</Words>
  <Characters>1133</Characters>
  <Lines>8</Lines>
  <Paragraphs>2</Paragraphs>
  <TotalTime>12</TotalTime>
  <ScaleCrop>false</ScaleCrop>
  <LinksUpToDate>false</LinksUpToDate>
  <CharactersWithSpaces>1144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2026-05-29T05:04:00Z</dcterms:created>
  <dc:creator>Jeff Lee</dc:creator>
  <cp:lastModifiedBy>ZLH</cp:lastModifiedBy>
  <dcterms:modified xsi:type="dcterms:W3CDTF">2026-06-04T01:16:28Z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eyJoZGlkIjoiN2VhNjk1NDU4YmM1NjY4ZjI0ZDc3OGVmOWJhMjg1MzAiLCJ1c2VySWQiOiI0MzgxNDUwNDAifQ==</vt:lpwstr>
  </property>
  <property fmtid="{D5CDD505-2E9C-101B-9397-08002B2CF9AE}" pid="3" name="KSOProductBuildVer">
    <vt:lpwstr>2052-12.1.0.26375</vt:lpwstr>
  </property>
  <property fmtid="{D5CDD505-2E9C-101B-9397-08002B2CF9AE}" pid="4" name="ICV">
    <vt:lpwstr>5CC1E3722D054BB58DABC57F468742B8_12</vt:lpwstr>
  </property>
</Properties>
</file>