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2A5BF">
      <w:pPr>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评分要求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2179"/>
        <w:gridCol w:w="6709"/>
      </w:tblGrid>
      <w:tr w14:paraId="6628B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14:paraId="329A662E">
            <w:pPr>
              <w:pStyle w:val="4"/>
              <w:jc w:val="center"/>
              <w:rPr>
                <w:rFonts w:hint="eastAsia" w:ascii="仿宋" w:hAnsi="仿宋" w:eastAsia="仿宋" w:cs="仿宋"/>
                <w:highlight w:val="none"/>
              </w:rPr>
            </w:pPr>
            <w:r>
              <w:rPr>
                <w:rFonts w:hint="eastAsia" w:ascii="仿宋" w:hAnsi="仿宋" w:eastAsia="仿宋" w:cs="仿宋"/>
                <w:highlight w:val="none"/>
              </w:rPr>
              <w:t>评审因素</w:t>
            </w:r>
          </w:p>
        </w:tc>
        <w:tc>
          <w:tcPr>
            <w:tcW w:w="8888" w:type="dxa"/>
            <w:gridSpan w:val="2"/>
          </w:tcPr>
          <w:p w14:paraId="5D483A0B">
            <w:pPr>
              <w:pStyle w:val="4"/>
              <w:jc w:val="center"/>
              <w:rPr>
                <w:rFonts w:hint="eastAsia" w:ascii="仿宋" w:hAnsi="仿宋" w:eastAsia="仿宋" w:cs="仿宋"/>
                <w:highlight w:val="none"/>
              </w:rPr>
            </w:pPr>
            <w:r>
              <w:rPr>
                <w:rFonts w:hint="eastAsia" w:ascii="仿宋" w:hAnsi="仿宋" w:eastAsia="仿宋" w:cs="仿宋"/>
                <w:highlight w:val="none"/>
              </w:rPr>
              <w:t>评审标准</w:t>
            </w:r>
          </w:p>
        </w:tc>
      </w:tr>
      <w:tr w14:paraId="559D2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14:paraId="5C57D030">
            <w:pPr>
              <w:pStyle w:val="4"/>
              <w:jc w:val="center"/>
              <w:rPr>
                <w:rFonts w:hint="eastAsia" w:ascii="仿宋" w:hAnsi="仿宋" w:eastAsia="仿宋" w:cs="仿宋"/>
                <w:highlight w:val="none"/>
              </w:rPr>
            </w:pPr>
            <w:r>
              <w:rPr>
                <w:rFonts w:hint="eastAsia" w:ascii="仿宋" w:hAnsi="仿宋" w:eastAsia="仿宋" w:cs="仿宋"/>
                <w:highlight w:val="none"/>
              </w:rPr>
              <w:t>分值构成</w:t>
            </w:r>
          </w:p>
        </w:tc>
        <w:tc>
          <w:tcPr>
            <w:tcW w:w="8888" w:type="dxa"/>
            <w:gridSpan w:val="2"/>
          </w:tcPr>
          <w:p w14:paraId="1AC4BBBC">
            <w:pPr>
              <w:pStyle w:val="4"/>
              <w:rPr>
                <w:rFonts w:hint="eastAsia" w:ascii="仿宋" w:hAnsi="仿宋" w:eastAsia="仿宋" w:cs="仿宋"/>
                <w:highlight w:val="none"/>
              </w:rPr>
            </w:pPr>
            <w:r>
              <w:rPr>
                <w:rFonts w:hint="eastAsia" w:ascii="仿宋" w:hAnsi="仿宋" w:eastAsia="仿宋" w:cs="仿宋"/>
                <w:highlight w:val="none"/>
              </w:rPr>
              <w:t>技术部分</w:t>
            </w:r>
            <w:r>
              <w:rPr>
                <w:rFonts w:hint="eastAsia" w:ascii="仿宋" w:hAnsi="仿宋" w:eastAsia="仿宋" w:cs="仿宋"/>
                <w:highlight w:val="none"/>
                <w:lang w:val="en-US" w:eastAsia="zh-CN"/>
              </w:rPr>
              <w:t>45</w:t>
            </w:r>
            <w:r>
              <w:rPr>
                <w:rFonts w:hint="eastAsia" w:ascii="仿宋" w:hAnsi="仿宋" w:eastAsia="仿宋" w:cs="仿宋"/>
                <w:highlight w:val="none"/>
              </w:rPr>
              <w:t>.0分</w:t>
            </w:r>
          </w:p>
          <w:p w14:paraId="0D999662">
            <w:pPr>
              <w:pStyle w:val="4"/>
              <w:rPr>
                <w:rFonts w:hint="eastAsia" w:ascii="仿宋" w:hAnsi="仿宋" w:eastAsia="仿宋" w:cs="仿宋"/>
                <w:highlight w:val="none"/>
              </w:rPr>
            </w:pPr>
            <w:r>
              <w:rPr>
                <w:rFonts w:hint="eastAsia" w:ascii="仿宋" w:hAnsi="仿宋" w:eastAsia="仿宋" w:cs="仿宋"/>
                <w:highlight w:val="none"/>
              </w:rPr>
              <w:t>商务部分</w:t>
            </w:r>
            <w:r>
              <w:rPr>
                <w:rFonts w:hint="eastAsia" w:ascii="仿宋" w:hAnsi="仿宋" w:eastAsia="仿宋" w:cs="仿宋"/>
                <w:highlight w:val="none"/>
                <w:lang w:val="en-US" w:eastAsia="zh-CN"/>
              </w:rPr>
              <w:t>23</w:t>
            </w:r>
            <w:r>
              <w:rPr>
                <w:rFonts w:hint="eastAsia" w:ascii="仿宋" w:hAnsi="仿宋" w:eastAsia="仿宋" w:cs="仿宋"/>
                <w:highlight w:val="none"/>
              </w:rPr>
              <w:t>.0分</w:t>
            </w:r>
          </w:p>
          <w:p w14:paraId="6612A5D7">
            <w:pPr>
              <w:pStyle w:val="4"/>
              <w:rPr>
                <w:rFonts w:hint="eastAsia" w:ascii="仿宋" w:hAnsi="仿宋" w:eastAsia="仿宋" w:cs="仿宋"/>
                <w:highlight w:val="none"/>
              </w:rPr>
            </w:pPr>
            <w:r>
              <w:rPr>
                <w:rFonts w:hint="eastAsia" w:ascii="仿宋" w:hAnsi="仿宋" w:eastAsia="仿宋" w:cs="仿宋"/>
                <w:highlight w:val="none"/>
              </w:rPr>
              <w:t>报价得分30.0分</w:t>
            </w:r>
          </w:p>
          <w:p w14:paraId="3B130307">
            <w:pPr>
              <w:pStyle w:val="4"/>
              <w:rPr>
                <w:rFonts w:hint="eastAsia" w:ascii="仿宋" w:hAnsi="仿宋" w:eastAsia="仿宋" w:cs="仿宋"/>
                <w:highlight w:val="none"/>
              </w:rPr>
            </w:pPr>
            <w:r>
              <w:rPr>
                <w:rFonts w:hint="eastAsia" w:ascii="仿宋" w:hAnsi="仿宋" w:eastAsia="仿宋" w:cs="仿宋"/>
                <w:highlight w:val="none"/>
              </w:rPr>
              <w:t>综合信用分</w:t>
            </w:r>
            <w:r>
              <w:rPr>
                <w:rFonts w:hint="eastAsia" w:ascii="仿宋" w:hAnsi="仿宋" w:eastAsia="仿宋" w:cs="仿宋"/>
                <w:highlight w:val="none"/>
                <w:lang w:val="en-US" w:eastAsia="zh-CN"/>
              </w:rPr>
              <w:t>2</w:t>
            </w:r>
            <w:r>
              <w:rPr>
                <w:rFonts w:hint="eastAsia" w:ascii="仿宋" w:hAnsi="仿宋" w:eastAsia="仿宋" w:cs="仿宋"/>
                <w:highlight w:val="none"/>
              </w:rPr>
              <w:t>.0分</w:t>
            </w:r>
            <w:bookmarkStart w:id="0" w:name="_GoBack"/>
            <w:bookmarkEnd w:id="0"/>
          </w:p>
        </w:tc>
      </w:tr>
      <w:tr w14:paraId="2E28A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vMerge w:val="restart"/>
          </w:tcPr>
          <w:p w14:paraId="02960711">
            <w:pPr>
              <w:pStyle w:val="4"/>
              <w:jc w:val="center"/>
              <w:rPr>
                <w:rFonts w:hint="eastAsia" w:ascii="仿宋" w:hAnsi="仿宋" w:eastAsia="仿宋" w:cs="仿宋"/>
                <w:highlight w:val="none"/>
              </w:rPr>
            </w:pPr>
            <w:r>
              <w:rPr>
                <w:rFonts w:hint="eastAsia" w:ascii="仿宋" w:hAnsi="仿宋" w:eastAsia="仿宋" w:cs="仿宋"/>
                <w:highlight w:val="none"/>
              </w:rPr>
              <w:t>技术部分</w:t>
            </w:r>
          </w:p>
        </w:tc>
        <w:tc>
          <w:tcPr>
            <w:tcW w:w="2179" w:type="dxa"/>
            <w:vAlign w:val="center"/>
          </w:tcPr>
          <w:p w14:paraId="040B5CC6">
            <w:pPr>
              <w:pStyle w:val="4"/>
              <w:jc w:val="center"/>
              <w:rPr>
                <w:rFonts w:hint="eastAsia" w:ascii="仿宋" w:hAnsi="仿宋" w:eastAsia="仿宋" w:cs="仿宋"/>
                <w:highlight w:val="none"/>
              </w:rPr>
            </w:pPr>
            <w:r>
              <w:rPr>
                <w:rFonts w:hint="eastAsia" w:ascii="仿宋" w:hAnsi="仿宋" w:eastAsia="仿宋" w:cs="仿宋"/>
                <w:highlight w:val="none"/>
              </w:rPr>
              <w:t>条款要求响应程度 (</w:t>
            </w:r>
            <w:r>
              <w:rPr>
                <w:rFonts w:hint="eastAsia" w:ascii="仿宋" w:hAnsi="仿宋" w:eastAsia="仿宋" w:cs="仿宋"/>
                <w:highlight w:val="none"/>
                <w:lang w:val="en-US" w:eastAsia="zh-CN"/>
              </w:rPr>
              <w:t>3</w:t>
            </w:r>
            <w:r>
              <w:rPr>
                <w:rFonts w:hint="eastAsia" w:ascii="仿宋" w:hAnsi="仿宋" w:eastAsia="仿宋" w:cs="仿宋"/>
                <w:highlight w:val="none"/>
              </w:rPr>
              <w:t>.0分)</w:t>
            </w:r>
          </w:p>
        </w:tc>
        <w:tc>
          <w:tcPr>
            <w:tcW w:w="6709" w:type="dxa"/>
          </w:tcPr>
          <w:p w14:paraId="729FA6D1">
            <w:pPr>
              <w:pStyle w:val="4"/>
              <w:jc w:val="left"/>
              <w:rPr>
                <w:rFonts w:hint="eastAsia" w:ascii="仿宋" w:hAnsi="仿宋" w:eastAsia="仿宋" w:cs="仿宋"/>
                <w:highlight w:val="none"/>
              </w:rPr>
            </w:pPr>
            <w:r>
              <w:rPr>
                <w:rFonts w:hint="eastAsia" w:ascii="仿宋" w:hAnsi="仿宋" w:eastAsia="仿宋" w:cs="仿宋"/>
                <w:highlight w:val="none"/>
              </w:rPr>
              <w:t>“采购需求-具体技术（参数）要求”完全响应或满足的，得</w:t>
            </w:r>
            <w:r>
              <w:rPr>
                <w:rFonts w:hint="eastAsia" w:ascii="仿宋" w:hAnsi="仿宋" w:eastAsia="仿宋" w:cs="仿宋"/>
                <w:highlight w:val="none"/>
                <w:lang w:val="en-US" w:eastAsia="zh-CN"/>
              </w:rPr>
              <w:t>3</w:t>
            </w:r>
            <w:r>
              <w:rPr>
                <w:rFonts w:hint="eastAsia" w:ascii="仿宋" w:hAnsi="仿宋" w:eastAsia="仿宋" w:cs="仿宋"/>
                <w:highlight w:val="none"/>
              </w:rPr>
              <w:t>分，每出现一项不满足扣</w:t>
            </w:r>
            <w:r>
              <w:rPr>
                <w:rFonts w:hint="eastAsia" w:ascii="仿宋" w:hAnsi="仿宋" w:eastAsia="仿宋" w:cs="仿宋"/>
                <w:highlight w:val="none"/>
                <w:lang w:val="en-US" w:eastAsia="zh-CN"/>
              </w:rPr>
              <w:t>0.5</w:t>
            </w:r>
            <w:r>
              <w:rPr>
                <w:rFonts w:hint="eastAsia" w:ascii="仿宋" w:hAnsi="仿宋" w:eastAsia="仿宋" w:cs="仿宋"/>
                <w:highlight w:val="none"/>
              </w:rPr>
              <w:t>分，本项最低得0分。如采购需求中有明确提供的证明资料，则以采购需求要求为准，无或未按要求提供证明材料的不得分；如采购需求中无明确证明材料的，以投标人的投标文件《技术和服务要求响应表》中的响应情况填写内容为准，未填写或不满足的视为负偏离。</w:t>
            </w:r>
          </w:p>
        </w:tc>
      </w:tr>
      <w:tr w14:paraId="064E6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6" w:hRule="atLeast"/>
        </w:trPr>
        <w:tc>
          <w:tcPr>
            <w:tcW w:w="1050" w:type="dxa"/>
            <w:vMerge w:val="continue"/>
          </w:tcPr>
          <w:p w14:paraId="3D641E41">
            <w:pPr>
              <w:rPr>
                <w:rFonts w:hint="eastAsia" w:ascii="仿宋" w:hAnsi="仿宋" w:eastAsia="仿宋" w:cs="仿宋"/>
                <w:highlight w:val="none"/>
              </w:rPr>
            </w:pPr>
          </w:p>
        </w:tc>
        <w:tc>
          <w:tcPr>
            <w:tcW w:w="2179" w:type="dxa"/>
            <w:vAlign w:val="center"/>
          </w:tcPr>
          <w:p w14:paraId="61310543">
            <w:pPr>
              <w:pStyle w:val="4"/>
              <w:jc w:val="center"/>
              <w:rPr>
                <w:rFonts w:hint="eastAsia" w:ascii="仿宋" w:hAnsi="仿宋" w:eastAsia="仿宋" w:cs="仿宋"/>
                <w:highlight w:val="none"/>
              </w:rPr>
            </w:pPr>
            <w:r>
              <w:rPr>
                <w:rFonts w:hint="eastAsia" w:ascii="仿宋" w:hAnsi="仿宋" w:eastAsia="仿宋" w:cs="仿宋"/>
                <w:highlight w:val="none"/>
              </w:rPr>
              <w:t>一般技术参数响应程度 (</w:t>
            </w:r>
            <w:r>
              <w:rPr>
                <w:rFonts w:hint="eastAsia" w:ascii="仿宋" w:hAnsi="仿宋" w:eastAsia="仿宋" w:cs="仿宋"/>
                <w:highlight w:val="none"/>
                <w:lang w:val="en-US" w:eastAsia="zh-CN"/>
              </w:rPr>
              <w:t>25</w:t>
            </w:r>
            <w:r>
              <w:rPr>
                <w:rFonts w:hint="eastAsia" w:ascii="仿宋" w:hAnsi="仿宋" w:eastAsia="仿宋" w:cs="仿宋"/>
                <w:highlight w:val="none"/>
              </w:rPr>
              <w:t>.0分)</w:t>
            </w:r>
          </w:p>
        </w:tc>
        <w:tc>
          <w:tcPr>
            <w:tcW w:w="6709" w:type="dxa"/>
          </w:tcPr>
          <w:p w14:paraId="7FC0607C">
            <w:pPr>
              <w:pStyle w:val="4"/>
              <w:jc w:val="left"/>
              <w:rPr>
                <w:rFonts w:hint="eastAsia" w:ascii="仿宋" w:hAnsi="仿宋" w:eastAsia="仿宋" w:cs="仿宋"/>
                <w:highlight w:val="none"/>
              </w:rPr>
            </w:pPr>
            <w:r>
              <w:rPr>
                <w:rFonts w:hint="eastAsia" w:ascii="仿宋" w:hAnsi="仿宋" w:eastAsia="仿宋" w:cs="仿宋"/>
                <w:highlight w:val="none"/>
              </w:rPr>
              <w:t>“采购需求-具体技术（参数）要求”的响应程度进行打分： （1）一般技术参数条款完全响应且有正偏离的</w:t>
            </w:r>
            <w:r>
              <w:rPr>
                <w:rFonts w:hint="eastAsia" w:ascii="仿宋" w:hAnsi="仿宋" w:eastAsia="仿宋" w:cs="仿宋"/>
                <w:highlight w:val="none"/>
                <w:lang w:val="en-US" w:eastAsia="zh-CN"/>
              </w:rPr>
              <w:t>满足1条加1分，最高分</w:t>
            </w:r>
            <w:r>
              <w:rPr>
                <w:rFonts w:hint="eastAsia" w:ascii="仿宋" w:hAnsi="仿宋" w:eastAsia="仿宋" w:cs="仿宋"/>
                <w:highlight w:val="none"/>
              </w:rPr>
              <w:t>25分 （2）完全响应的：</w:t>
            </w:r>
            <w:r>
              <w:rPr>
                <w:rFonts w:hint="eastAsia" w:ascii="仿宋" w:hAnsi="仿宋" w:eastAsia="仿宋" w:cs="仿宋"/>
                <w:highlight w:val="none"/>
                <w:lang w:val="en-US" w:eastAsia="zh-CN"/>
              </w:rPr>
              <w:t>15</w:t>
            </w:r>
            <w:r>
              <w:rPr>
                <w:rFonts w:hint="eastAsia" w:ascii="仿宋" w:hAnsi="仿宋" w:eastAsia="仿宋" w:cs="仿宋"/>
                <w:highlight w:val="none"/>
              </w:rPr>
              <w:t>分</w:t>
            </w:r>
            <w:r>
              <w:rPr>
                <w:rFonts w:hint="eastAsia" w:ascii="仿宋" w:hAnsi="仿宋" w:eastAsia="仿宋" w:cs="仿宋"/>
                <w:highlight w:val="none"/>
                <w:lang w:eastAsia="zh-CN"/>
              </w:rPr>
              <w:t>（</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w:t>
            </w:r>
            <w:r>
              <w:rPr>
                <w:rFonts w:hint="eastAsia" w:ascii="仿宋" w:hAnsi="仿宋" w:eastAsia="仿宋" w:cs="仿宋"/>
                <w:highlight w:val="none"/>
              </w:rPr>
              <w:t xml:space="preserve">1-10 条负偏离得 </w:t>
            </w:r>
            <w:r>
              <w:rPr>
                <w:rFonts w:hint="eastAsia" w:ascii="仿宋" w:hAnsi="仿宋" w:eastAsia="仿宋" w:cs="仿宋"/>
                <w:highlight w:val="none"/>
                <w:lang w:val="en-US" w:eastAsia="zh-CN"/>
              </w:rPr>
              <w:t>5</w:t>
            </w:r>
            <w:r>
              <w:rPr>
                <w:rFonts w:hint="eastAsia" w:ascii="仿宋" w:hAnsi="仿宋" w:eastAsia="仿宋" w:cs="仿宋"/>
                <w:highlight w:val="none"/>
              </w:rPr>
              <w:t>分；（</w:t>
            </w:r>
            <w:r>
              <w:rPr>
                <w:rFonts w:hint="eastAsia" w:ascii="仿宋" w:hAnsi="仿宋" w:eastAsia="仿宋" w:cs="仿宋"/>
                <w:highlight w:val="none"/>
                <w:lang w:val="en-US" w:eastAsia="zh-CN"/>
              </w:rPr>
              <w:t>4</w:t>
            </w:r>
            <w:r>
              <w:rPr>
                <w:rFonts w:hint="eastAsia" w:ascii="仿宋" w:hAnsi="仿宋" w:eastAsia="仿宋" w:cs="仿宋"/>
                <w:highlight w:val="none"/>
              </w:rPr>
              <w:t>）11-20条负偏离得</w:t>
            </w:r>
            <w:r>
              <w:rPr>
                <w:rFonts w:hint="eastAsia" w:ascii="仿宋" w:hAnsi="仿宋" w:eastAsia="仿宋" w:cs="仿宋"/>
                <w:highlight w:val="none"/>
                <w:lang w:val="en-US" w:eastAsia="zh-CN"/>
              </w:rPr>
              <w:t>3</w:t>
            </w:r>
            <w:r>
              <w:rPr>
                <w:rFonts w:hint="eastAsia" w:ascii="仿宋" w:hAnsi="仿宋" w:eastAsia="仿宋" w:cs="仿宋"/>
                <w:highlight w:val="none"/>
              </w:rPr>
              <w:t>分；（</w:t>
            </w:r>
            <w:r>
              <w:rPr>
                <w:rFonts w:hint="eastAsia" w:ascii="仿宋" w:hAnsi="仿宋" w:eastAsia="仿宋" w:cs="仿宋"/>
                <w:highlight w:val="none"/>
                <w:lang w:val="en-US" w:eastAsia="zh-CN"/>
              </w:rPr>
              <w:t>5</w:t>
            </w:r>
            <w:r>
              <w:rPr>
                <w:rFonts w:hint="eastAsia" w:ascii="仿宋" w:hAnsi="仿宋" w:eastAsia="仿宋" w:cs="仿宋"/>
                <w:highlight w:val="none"/>
              </w:rPr>
              <w:t>）21条或以上负偏离属于重大偏离，本项不得分。 注：凡是标有序号且为最末级序号的条款均以一项单独的条款计算。如采购需求中有明确提供的证明资料，则以采购需求要求为准，无或未按要求提供证明材料的不得分；如采购需求中无明确证明材料的，以投标人的投标文件《技术和服务要求响应表》中的响应情况填写内容为准，未填写或不满足的视为负偏离。</w:t>
            </w:r>
          </w:p>
        </w:tc>
      </w:tr>
      <w:tr w14:paraId="6E485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49" w:hRule="atLeast"/>
        </w:trPr>
        <w:tc>
          <w:tcPr>
            <w:tcW w:w="1050" w:type="dxa"/>
            <w:vMerge w:val="continue"/>
          </w:tcPr>
          <w:p w14:paraId="74A162AA">
            <w:pPr>
              <w:rPr>
                <w:rFonts w:hint="eastAsia" w:ascii="仿宋" w:hAnsi="仿宋" w:eastAsia="仿宋" w:cs="仿宋"/>
                <w:highlight w:val="none"/>
              </w:rPr>
            </w:pPr>
          </w:p>
        </w:tc>
        <w:tc>
          <w:tcPr>
            <w:tcW w:w="2179" w:type="dxa"/>
            <w:vAlign w:val="center"/>
          </w:tcPr>
          <w:p w14:paraId="2D428211">
            <w:pPr>
              <w:pStyle w:val="4"/>
              <w:jc w:val="center"/>
              <w:rPr>
                <w:rFonts w:hint="eastAsia" w:ascii="仿宋" w:hAnsi="仿宋" w:eastAsia="仿宋" w:cs="仿宋"/>
                <w:highlight w:val="none"/>
              </w:rPr>
            </w:pPr>
            <w:r>
              <w:rPr>
                <w:rFonts w:hint="eastAsia" w:ascii="仿宋" w:hAnsi="仿宋" w:eastAsia="仿宋" w:cs="仿宋"/>
                <w:highlight w:val="none"/>
              </w:rPr>
              <w:t xml:space="preserve">包装运输和质量技术保障方案（ </w:t>
            </w:r>
            <w:r>
              <w:rPr>
                <w:rFonts w:hint="eastAsia" w:ascii="仿宋" w:hAnsi="仿宋" w:eastAsia="仿宋" w:cs="仿宋"/>
                <w:highlight w:val="none"/>
                <w:lang w:val="en-US" w:eastAsia="zh-CN"/>
              </w:rPr>
              <w:t>1.0</w:t>
            </w:r>
            <w:r>
              <w:rPr>
                <w:rFonts w:hint="eastAsia" w:ascii="仿宋" w:hAnsi="仿宋" w:eastAsia="仿宋" w:cs="仿宋"/>
                <w:highlight w:val="none"/>
              </w:rPr>
              <w:t>分)</w:t>
            </w:r>
          </w:p>
        </w:tc>
        <w:tc>
          <w:tcPr>
            <w:tcW w:w="6709" w:type="dxa"/>
          </w:tcPr>
          <w:p w14:paraId="695ECAB8">
            <w:pPr>
              <w:pStyle w:val="4"/>
              <w:jc w:val="left"/>
              <w:rPr>
                <w:rFonts w:hint="eastAsia" w:ascii="仿宋" w:hAnsi="仿宋" w:eastAsia="仿宋" w:cs="仿宋"/>
                <w:highlight w:val="none"/>
              </w:rPr>
            </w:pPr>
            <w:r>
              <w:rPr>
                <w:rFonts w:hint="eastAsia" w:ascii="仿宋" w:hAnsi="仿宋" w:eastAsia="仿宋" w:cs="仿宋"/>
                <w:highlight w:val="none"/>
              </w:rPr>
              <w:t>对照项目需求，根据投标人制定本项目包装运输和质量技术保障方案（一）进行综合评审： 包装运输和质量技术保障方案能根据采购需求详细阐述包装运输方案、运输方案、质量管理体系及质量保障措施，方案内容详细，充分考虑内容与实施要求的适应性，方案内容能满足且优于采购需求的，得</w:t>
            </w:r>
            <w:r>
              <w:rPr>
                <w:rFonts w:hint="eastAsia" w:ascii="仿宋" w:hAnsi="仿宋" w:eastAsia="仿宋" w:cs="仿宋"/>
                <w:highlight w:val="none"/>
                <w:lang w:val="en-US" w:eastAsia="zh-CN"/>
              </w:rPr>
              <w:t>1</w:t>
            </w:r>
            <w:r>
              <w:rPr>
                <w:rFonts w:hint="eastAsia" w:ascii="仿宋" w:hAnsi="仿宋" w:eastAsia="仿宋" w:cs="仿宋"/>
                <w:highlight w:val="none"/>
              </w:rPr>
              <w:t>分；包装运输和质量技术保障方案部分满足采购需求的，得</w:t>
            </w:r>
            <w:r>
              <w:rPr>
                <w:rFonts w:hint="eastAsia" w:ascii="仿宋" w:hAnsi="仿宋" w:eastAsia="仿宋" w:cs="仿宋"/>
                <w:highlight w:val="none"/>
                <w:lang w:val="en-US" w:eastAsia="zh-CN"/>
              </w:rPr>
              <w:t>0.5</w:t>
            </w:r>
            <w:r>
              <w:rPr>
                <w:rFonts w:hint="eastAsia" w:ascii="仿宋" w:hAnsi="仿宋" w:eastAsia="仿宋" w:cs="仿宋"/>
                <w:highlight w:val="none"/>
              </w:rPr>
              <w:t>分；包装运输和质量技术保障方案内容不具备可行性或不提供方案的，不得分。</w:t>
            </w:r>
          </w:p>
        </w:tc>
      </w:tr>
      <w:tr w14:paraId="66E9C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vMerge w:val="continue"/>
          </w:tcPr>
          <w:p w14:paraId="1B9A4E1E">
            <w:pPr>
              <w:rPr>
                <w:rFonts w:hint="eastAsia" w:ascii="仿宋" w:hAnsi="仿宋" w:eastAsia="仿宋" w:cs="仿宋"/>
                <w:highlight w:val="none"/>
              </w:rPr>
            </w:pPr>
          </w:p>
        </w:tc>
        <w:tc>
          <w:tcPr>
            <w:tcW w:w="2179" w:type="dxa"/>
            <w:vAlign w:val="center"/>
          </w:tcPr>
          <w:p w14:paraId="6A4CC31C">
            <w:pPr>
              <w:pStyle w:val="4"/>
              <w:jc w:val="center"/>
              <w:rPr>
                <w:rFonts w:hint="eastAsia" w:ascii="仿宋" w:hAnsi="仿宋" w:eastAsia="仿宋" w:cs="仿宋"/>
                <w:highlight w:val="none"/>
              </w:rPr>
            </w:pPr>
            <w:r>
              <w:rPr>
                <w:rFonts w:hint="eastAsia" w:ascii="仿宋" w:hAnsi="仿宋" w:eastAsia="仿宋" w:cs="仿宋"/>
                <w:highlight w:val="none"/>
              </w:rPr>
              <w:t>培训服务方案(</w:t>
            </w:r>
            <w:r>
              <w:rPr>
                <w:rFonts w:hint="eastAsia" w:ascii="仿宋" w:hAnsi="仿宋" w:eastAsia="仿宋" w:cs="仿宋"/>
                <w:highlight w:val="none"/>
                <w:lang w:val="en-US" w:eastAsia="zh-CN"/>
              </w:rPr>
              <w:t>10</w:t>
            </w:r>
            <w:r>
              <w:rPr>
                <w:rFonts w:hint="eastAsia" w:ascii="仿宋" w:hAnsi="仿宋" w:eastAsia="仿宋" w:cs="仿宋"/>
                <w:highlight w:val="none"/>
              </w:rPr>
              <w:t>.0分)</w:t>
            </w:r>
          </w:p>
        </w:tc>
        <w:tc>
          <w:tcPr>
            <w:tcW w:w="6709" w:type="dxa"/>
          </w:tcPr>
          <w:p w14:paraId="0E05B4AF">
            <w:pPr>
              <w:pStyle w:val="4"/>
              <w:jc w:val="left"/>
              <w:rPr>
                <w:rFonts w:hint="eastAsia" w:ascii="仿宋" w:hAnsi="仿宋" w:eastAsia="仿宋" w:cs="仿宋"/>
                <w:highlight w:val="none"/>
              </w:rPr>
            </w:pPr>
            <w:r>
              <w:rPr>
                <w:rFonts w:hint="eastAsia" w:ascii="仿宋" w:hAnsi="仿宋" w:eastAsia="仿宋" w:cs="仿宋"/>
                <w:highlight w:val="none"/>
              </w:rPr>
              <w:t>对照项目需求，根据投标人针对培训服务方案（一）进行综合评审： 培训服务方案能体现理解采购需求，结合采购需求提出完整可行的培训方案，提供针对性的</w:t>
            </w:r>
            <w:r>
              <w:rPr>
                <w:rFonts w:hint="eastAsia" w:ascii="仿宋" w:hAnsi="仿宋" w:eastAsia="仿宋" w:cs="仿宋"/>
                <w:highlight w:val="none"/>
                <w:lang w:eastAsia="zh-CN"/>
              </w:rPr>
              <w:t>、</w:t>
            </w:r>
            <w:r>
              <w:rPr>
                <w:rFonts w:hint="eastAsia" w:ascii="仿宋" w:hAnsi="仿宋" w:eastAsia="仿宋" w:cs="仿宋"/>
                <w:highlight w:val="none"/>
              </w:rPr>
              <w:t>有完整可行的培训体系，方案能满足且优于采购需求的，得</w:t>
            </w:r>
            <w:r>
              <w:rPr>
                <w:rFonts w:hint="eastAsia" w:ascii="仿宋" w:hAnsi="仿宋" w:eastAsia="仿宋" w:cs="仿宋"/>
                <w:highlight w:val="none"/>
                <w:lang w:val="en-US" w:eastAsia="zh-CN"/>
              </w:rPr>
              <w:t>7分，最高得10</w:t>
            </w:r>
            <w:r>
              <w:rPr>
                <w:rFonts w:hint="eastAsia" w:ascii="仿宋" w:hAnsi="仿宋" w:eastAsia="仿宋" w:cs="仿宋"/>
                <w:highlight w:val="none"/>
              </w:rPr>
              <w:t>分；培训服务方案部分满足采购需求的，得</w:t>
            </w:r>
            <w:r>
              <w:rPr>
                <w:rFonts w:hint="eastAsia" w:ascii="仿宋" w:hAnsi="仿宋" w:eastAsia="仿宋" w:cs="仿宋"/>
                <w:highlight w:val="none"/>
                <w:lang w:val="en-US" w:eastAsia="zh-CN"/>
              </w:rPr>
              <w:t>5</w:t>
            </w:r>
            <w:r>
              <w:rPr>
                <w:rFonts w:hint="eastAsia" w:ascii="仿宋" w:hAnsi="仿宋" w:eastAsia="仿宋" w:cs="仿宋"/>
                <w:highlight w:val="none"/>
              </w:rPr>
              <w:t>分；培训服务方案内容不具备可行性或不提供方案的，不得分。</w:t>
            </w:r>
          </w:p>
        </w:tc>
      </w:tr>
      <w:tr w14:paraId="3F805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03" w:hRule="atLeast"/>
        </w:trPr>
        <w:tc>
          <w:tcPr>
            <w:tcW w:w="1050" w:type="dxa"/>
            <w:vMerge w:val="continue"/>
          </w:tcPr>
          <w:p w14:paraId="0DDFBB54">
            <w:pPr>
              <w:rPr>
                <w:rFonts w:hint="eastAsia" w:ascii="仿宋" w:hAnsi="仿宋" w:eastAsia="仿宋" w:cs="仿宋"/>
                <w:highlight w:val="none"/>
              </w:rPr>
            </w:pPr>
          </w:p>
        </w:tc>
        <w:tc>
          <w:tcPr>
            <w:tcW w:w="2179" w:type="dxa"/>
            <w:vAlign w:val="center"/>
          </w:tcPr>
          <w:p w14:paraId="5B6EA00F">
            <w:pPr>
              <w:pStyle w:val="4"/>
              <w:jc w:val="center"/>
              <w:rPr>
                <w:rFonts w:hint="eastAsia" w:ascii="仿宋" w:hAnsi="仿宋" w:eastAsia="仿宋" w:cs="仿宋"/>
                <w:highlight w:val="none"/>
              </w:rPr>
            </w:pPr>
            <w:r>
              <w:rPr>
                <w:rFonts w:hint="eastAsia" w:ascii="仿宋" w:hAnsi="仿宋" w:eastAsia="仿宋" w:cs="仿宋"/>
                <w:highlight w:val="none"/>
              </w:rPr>
              <w:t>应急方案(</w:t>
            </w:r>
            <w:r>
              <w:rPr>
                <w:rFonts w:hint="eastAsia" w:ascii="仿宋" w:hAnsi="仿宋" w:eastAsia="仿宋" w:cs="仿宋"/>
                <w:highlight w:val="none"/>
                <w:lang w:val="en-US" w:eastAsia="zh-CN"/>
              </w:rPr>
              <w:t>6</w:t>
            </w:r>
            <w:r>
              <w:rPr>
                <w:rFonts w:hint="eastAsia" w:ascii="仿宋" w:hAnsi="仿宋" w:eastAsia="仿宋" w:cs="仿宋"/>
                <w:highlight w:val="none"/>
              </w:rPr>
              <w:t>.0分)</w:t>
            </w:r>
          </w:p>
        </w:tc>
        <w:tc>
          <w:tcPr>
            <w:tcW w:w="6709" w:type="dxa"/>
          </w:tcPr>
          <w:p w14:paraId="6DFE59FF">
            <w:pPr>
              <w:pStyle w:val="4"/>
              <w:jc w:val="left"/>
              <w:rPr>
                <w:rFonts w:hint="eastAsia" w:ascii="仿宋" w:hAnsi="仿宋" w:eastAsia="仿宋" w:cs="仿宋"/>
                <w:highlight w:val="none"/>
              </w:rPr>
            </w:pPr>
            <w:r>
              <w:rPr>
                <w:rFonts w:hint="eastAsia" w:ascii="仿宋" w:hAnsi="仿宋" w:eastAsia="仿宋" w:cs="仿宋"/>
                <w:highlight w:val="none"/>
              </w:rPr>
              <w:t>对照项目需求，根据投标人制定的本项目应急方案（一）进行综合评审：应急方案能结合采购需求，结合项目实施过程中可能遇到紧急情况进行有效得预警及分析，结合情况分析提出合理得应急处置流程及处置措施，有合理可行的应急支持资源调配协调计划的，方案能完全满足且优于采购需求的，得</w:t>
            </w:r>
            <w:r>
              <w:rPr>
                <w:rFonts w:hint="eastAsia" w:ascii="仿宋" w:hAnsi="仿宋" w:eastAsia="仿宋" w:cs="仿宋"/>
                <w:highlight w:val="none"/>
                <w:lang w:val="en-US" w:eastAsia="zh-CN"/>
              </w:rPr>
              <w:t>6</w:t>
            </w:r>
            <w:r>
              <w:rPr>
                <w:rFonts w:hint="eastAsia" w:ascii="仿宋" w:hAnsi="仿宋" w:eastAsia="仿宋" w:cs="仿宋"/>
                <w:highlight w:val="none"/>
              </w:rPr>
              <w:t>分；应急方案部分满足采购需求的，得</w:t>
            </w:r>
            <w:r>
              <w:rPr>
                <w:rFonts w:hint="eastAsia" w:ascii="仿宋" w:hAnsi="仿宋" w:eastAsia="仿宋" w:cs="仿宋"/>
                <w:highlight w:val="none"/>
                <w:lang w:val="en-US" w:eastAsia="zh-CN"/>
              </w:rPr>
              <w:t>3</w:t>
            </w:r>
            <w:r>
              <w:rPr>
                <w:rFonts w:hint="eastAsia" w:ascii="仿宋" w:hAnsi="仿宋" w:eastAsia="仿宋" w:cs="仿宋"/>
                <w:highlight w:val="none"/>
              </w:rPr>
              <w:t>分；应急方案内容不具备可行性或不提供方案的，不得分。</w:t>
            </w:r>
          </w:p>
        </w:tc>
      </w:tr>
      <w:tr w14:paraId="19723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vMerge w:val="restart"/>
            <w:vAlign w:val="center"/>
          </w:tcPr>
          <w:p w14:paraId="64C8BCCE">
            <w:pPr>
              <w:pStyle w:val="4"/>
              <w:jc w:val="center"/>
              <w:rPr>
                <w:rFonts w:hint="eastAsia" w:ascii="仿宋" w:hAnsi="仿宋" w:eastAsia="仿宋" w:cs="仿宋"/>
                <w:highlight w:val="none"/>
              </w:rPr>
            </w:pPr>
            <w:r>
              <w:rPr>
                <w:rFonts w:hint="eastAsia" w:ascii="仿宋" w:hAnsi="仿宋" w:eastAsia="仿宋" w:cs="仿宋"/>
                <w:highlight w:val="none"/>
              </w:rPr>
              <w:t>商务部分</w:t>
            </w:r>
          </w:p>
        </w:tc>
        <w:tc>
          <w:tcPr>
            <w:tcW w:w="2179" w:type="dxa"/>
            <w:vAlign w:val="center"/>
          </w:tcPr>
          <w:p w14:paraId="2E533C13">
            <w:pPr>
              <w:pStyle w:val="4"/>
              <w:jc w:val="center"/>
              <w:rPr>
                <w:rFonts w:hint="eastAsia" w:ascii="仿宋" w:hAnsi="仿宋" w:eastAsia="仿宋" w:cs="仿宋"/>
                <w:highlight w:val="none"/>
              </w:rPr>
            </w:pPr>
            <w:r>
              <w:rPr>
                <w:rFonts w:hint="eastAsia" w:ascii="仿宋" w:hAnsi="仿宋" w:eastAsia="仿宋" w:cs="仿宋"/>
                <w:highlight w:val="none"/>
              </w:rPr>
              <w:t>同类项目经验 (</w:t>
            </w:r>
            <w:r>
              <w:rPr>
                <w:rFonts w:hint="eastAsia" w:ascii="仿宋" w:hAnsi="仿宋" w:eastAsia="仿宋" w:cs="仿宋"/>
                <w:highlight w:val="none"/>
                <w:lang w:val="en-US" w:eastAsia="zh-CN"/>
              </w:rPr>
              <w:t>5</w:t>
            </w:r>
            <w:r>
              <w:rPr>
                <w:rFonts w:hint="eastAsia" w:ascii="仿宋" w:hAnsi="仿宋" w:eastAsia="仿宋" w:cs="仿宋"/>
                <w:highlight w:val="none"/>
              </w:rPr>
              <w:t>.0分)</w:t>
            </w:r>
          </w:p>
        </w:tc>
        <w:tc>
          <w:tcPr>
            <w:tcW w:w="6709" w:type="dxa"/>
          </w:tcPr>
          <w:p w14:paraId="6B57D825">
            <w:pPr>
              <w:pStyle w:val="4"/>
              <w:jc w:val="left"/>
              <w:rPr>
                <w:rFonts w:hint="eastAsia" w:ascii="仿宋" w:hAnsi="仿宋" w:eastAsia="仿宋" w:cs="仿宋"/>
                <w:highlight w:val="none"/>
              </w:rPr>
            </w:pPr>
            <w:r>
              <w:rPr>
                <w:rFonts w:hint="eastAsia" w:ascii="仿宋" w:hAnsi="仿宋" w:eastAsia="仿宋" w:cs="仿宋"/>
                <w:highlight w:val="none"/>
              </w:rPr>
              <w:t>每提供一项202</w:t>
            </w:r>
            <w:r>
              <w:rPr>
                <w:rFonts w:hint="eastAsia" w:ascii="仿宋" w:hAnsi="仿宋" w:eastAsia="仿宋" w:cs="仿宋"/>
                <w:highlight w:val="none"/>
                <w:lang w:val="en-US" w:eastAsia="zh-CN"/>
              </w:rPr>
              <w:t>2</w:t>
            </w:r>
            <w:r>
              <w:rPr>
                <w:rFonts w:hint="eastAsia" w:ascii="仿宋" w:hAnsi="仿宋" w:eastAsia="仿宋" w:cs="仿宋"/>
                <w:highlight w:val="none"/>
              </w:rPr>
              <w:t>年1月1日至今同类项目业绩（实训类设备或工具相关业绩）得</w:t>
            </w:r>
            <w:r>
              <w:rPr>
                <w:rFonts w:hint="eastAsia" w:ascii="仿宋" w:hAnsi="仿宋" w:eastAsia="仿宋" w:cs="仿宋"/>
                <w:highlight w:val="none"/>
                <w:lang w:val="en-US" w:eastAsia="zh-CN"/>
              </w:rPr>
              <w:t>1</w:t>
            </w:r>
            <w:r>
              <w:rPr>
                <w:rFonts w:hint="eastAsia" w:ascii="仿宋" w:hAnsi="仿宋" w:eastAsia="仿宋" w:cs="仿宋"/>
                <w:highlight w:val="none"/>
              </w:rPr>
              <w:t>分，本项最高得</w:t>
            </w:r>
            <w:r>
              <w:rPr>
                <w:rFonts w:hint="eastAsia" w:ascii="仿宋" w:hAnsi="仿宋" w:eastAsia="仿宋" w:cs="仿宋"/>
                <w:highlight w:val="none"/>
                <w:lang w:val="en-US" w:eastAsia="zh-CN"/>
              </w:rPr>
              <w:t>5</w:t>
            </w:r>
            <w:r>
              <w:rPr>
                <w:rFonts w:hint="eastAsia" w:ascii="仿宋" w:hAnsi="仿宋" w:eastAsia="仿宋" w:cs="仿宋"/>
                <w:highlight w:val="none"/>
              </w:rPr>
              <w:t>分。 备注：1、以合同签订时间为准，请附上合同关键页（含签订合同双方的单位名称、合同项目名称、采购内容/采购清单、签订合同双方的落款盖章、签订日期的关键页）复印件作为同类业绩评价证明资料。2、投标人为分公司参与投标的，可提供该分公司业绩及其总公司业绩参与评审，提供总公司名下其他分公司的业绩的对应业绩不予认可；3、投标人为总公司投标的，可提供总公司业绩及分公司业绩参与评审。</w:t>
            </w:r>
          </w:p>
        </w:tc>
      </w:tr>
      <w:tr w14:paraId="35944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vMerge w:val="continue"/>
            <w:vAlign w:val="center"/>
          </w:tcPr>
          <w:p w14:paraId="49847259">
            <w:pPr>
              <w:jc w:val="center"/>
              <w:rPr>
                <w:rFonts w:hint="eastAsia" w:ascii="仿宋" w:hAnsi="仿宋" w:eastAsia="仿宋" w:cs="仿宋"/>
                <w:highlight w:val="none"/>
              </w:rPr>
            </w:pPr>
          </w:p>
        </w:tc>
        <w:tc>
          <w:tcPr>
            <w:tcW w:w="2179" w:type="dxa"/>
            <w:vAlign w:val="center"/>
          </w:tcPr>
          <w:p w14:paraId="05D1EADB">
            <w:pPr>
              <w:pStyle w:val="4"/>
              <w:jc w:val="center"/>
              <w:rPr>
                <w:rFonts w:hint="eastAsia" w:ascii="仿宋" w:hAnsi="仿宋" w:eastAsia="仿宋" w:cs="仿宋"/>
                <w:highlight w:val="none"/>
              </w:rPr>
            </w:pPr>
            <w:r>
              <w:rPr>
                <w:rFonts w:hint="eastAsia" w:ascii="仿宋" w:hAnsi="仿宋" w:eastAsia="仿宋" w:cs="仿宋"/>
                <w:highlight w:val="none"/>
              </w:rPr>
              <w:t>商品售后服务评价认证 (</w:t>
            </w:r>
            <w:r>
              <w:rPr>
                <w:rFonts w:hint="eastAsia" w:ascii="仿宋" w:hAnsi="仿宋" w:eastAsia="仿宋" w:cs="仿宋"/>
                <w:highlight w:val="none"/>
                <w:lang w:val="en-US" w:eastAsia="zh-CN"/>
              </w:rPr>
              <w:t>2</w:t>
            </w:r>
            <w:r>
              <w:rPr>
                <w:rFonts w:hint="eastAsia" w:ascii="仿宋" w:hAnsi="仿宋" w:eastAsia="仿宋" w:cs="仿宋"/>
                <w:highlight w:val="none"/>
              </w:rPr>
              <w:t>.0分)</w:t>
            </w:r>
          </w:p>
        </w:tc>
        <w:tc>
          <w:tcPr>
            <w:tcW w:w="6709" w:type="dxa"/>
          </w:tcPr>
          <w:p w14:paraId="21521510">
            <w:pPr>
              <w:pStyle w:val="4"/>
              <w:jc w:val="left"/>
              <w:rPr>
                <w:rFonts w:hint="eastAsia" w:ascii="仿宋" w:hAnsi="仿宋" w:eastAsia="仿宋" w:cs="仿宋"/>
                <w:highlight w:val="none"/>
              </w:rPr>
            </w:pPr>
            <w:r>
              <w:rPr>
                <w:rFonts w:hint="eastAsia" w:ascii="仿宋" w:hAnsi="仿宋" w:eastAsia="仿宋" w:cs="仿宋"/>
                <w:highlight w:val="none"/>
              </w:rPr>
              <w:t>投标人提供有效期内的服务认证证书（商品售后服务评价认证），提供得</w:t>
            </w:r>
            <w:r>
              <w:rPr>
                <w:rFonts w:hint="eastAsia" w:ascii="仿宋" w:hAnsi="仿宋" w:eastAsia="仿宋" w:cs="仿宋"/>
                <w:highlight w:val="none"/>
                <w:lang w:val="en-US" w:eastAsia="zh-CN"/>
              </w:rPr>
              <w:t>0.5</w:t>
            </w:r>
            <w:r>
              <w:rPr>
                <w:rFonts w:hint="eastAsia" w:ascii="仿宋" w:hAnsi="仿宋" w:eastAsia="仿宋" w:cs="仿宋"/>
                <w:highlight w:val="none"/>
              </w:rPr>
              <w:t>分，最高得</w:t>
            </w:r>
            <w:r>
              <w:rPr>
                <w:rFonts w:hint="eastAsia" w:ascii="仿宋" w:hAnsi="仿宋" w:eastAsia="仿宋" w:cs="仿宋"/>
                <w:highlight w:val="none"/>
                <w:lang w:val="en-US" w:eastAsia="zh-CN"/>
              </w:rPr>
              <w:t>2</w:t>
            </w:r>
            <w:r>
              <w:rPr>
                <w:rFonts w:hint="eastAsia" w:ascii="仿宋" w:hAnsi="仿宋" w:eastAsia="仿宋" w:cs="仿宋"/>
                <w:highlight w:val="none"/>
              </w:rPr>
              <w:t>分。 注：须提供此认证的有效认证证书复印件加盖公章，评标时评标委员会将通过网站查询证书的状态记录并截图记录【网址以“国家认证认可监督管理委员会（http://www.cnca.gov.cn）”网站公布为准，证书状态须为“有效”】，如查询结果不一致，则不得分。以上证书中如因企业成立时间原因不足3个月未能获得证书的，可以相应得分。</w:t>
            </w:r>
          </w:p>
        </w:tc>
      </w:tr>
      <w:tr w14:paraId="52E28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vMerge w:val="continue"/>
            <w:vAlign w:val="center"/>
          </w:tcPr>
          <w:p w14:paraId="3B9C089E">
            <w:pPr>
              <w:jc w:val="center"/>
              <w:rPr>
                <w:rFonts w:hint="eastAsia" w:ascii="仿宋" w:hAnsi="仿宋" w:eastAsia="仿宋" w:cs="仿宋"/>
                <w:highlight w:val="none"/>
              </w:rPr>
            </w:pPr>
          </w:p>
        </w:tc>
        <w:tc>
          <w:tcPr>
            <w:tcW w:w="2179" w:type="dxa"/>
            <w:shd w:val="clear" w:color="auto" w:fill="auto"/>
            <w:vAlign w:val="center"/>
          </w:tcPr>
          <w:p w14:paraId="47F4F7B7">
            <w:pPr>
              <w:pStyle w:val="4"/>
              <w:jc w:val="center"/>
              <w:rPr>
                <w:rFonts w:hint="eastAsia" w:ascii="仿宋" w:hAnsi="仿宋" w:eastAsia="仿宋" w:cs="仿宋"/>
                <w:highlight w:val="none"/>
                <w:lang w:val="en-US" w:eastAsia="zh-Hans"/>
              </w:rPr>
            </w:pPr>
            <w:r>
              <w:rPr>
                <w:rFonts w:hint="eastAsia" w:ascii="仿宋" w:hAnsi="仿宋" w:eastAsia="仿宋" w:cs="仿宋"/>
                <w:highlight w:val="none"/>
              </w:rPr>
              <w:t>售后服务方案 (</w:t>
            </w:r>
            <w:r>
              <w:rPr>
                <w:rFonts w:hint="eastAsia" w:ascii="仿宋" w:hAnsi="仿宋" w:eastAsia="仿宋" w:cs="仿宋"/>
                <w:highlight w:val="none"/>
                <w:lang w:val="en-US" w:eastAsia="zh-CN"/>
              </w:rPr>
              <w:t>12</w:t>
            </w:r>
            <w:r>
              <w:rPr>
                <w:rFonts w:hint="eastAsia" w:ascii="仿宋" w:hAnsi="仿宋" w:eastAsia="仿宋" w:cs="仿宋"/>
                <w:highlight w:val="none"/>
              </w:rPr>
              <w:t>.0分)</w:t>
            </w:r>
          </w:p>
        </w:tc>
        <w:tc>
          <w:tcPr>
            <w:tcW w:w="6709" w:type="dxa"/>
            <w:shd w:val="clear" w:color="auto" w:fill="auto"/>
            <w:vAlign w:val="top"/>
          </w:tcPr>
          <w:p w14:paraId="6DE57934">
            <w:pPr>
              <w:pStyle w:val="4"/>
              <w:jc w:val="left"/>
              <w:rPr>
                <w:rFonts w:hint="eastAsia" w:ascii="仿宋" w:hAnsi="仿宋" w:eastAsia="仿宋" w:cs="仿宋"/>
                <w:highlight w:val="none"/>
                <w:lang w:val="en-US" w:eastAsia="zh-Hans"/>
              </w:rPr>
            </w:pPr>
            <w:r>
              <w:rPr>
                <w:rFonts w:hint="eastAsia" w:ascii="仿宋" w:hAnsi="仿宋" w:eastAsia="仿宋" w:cs="仿宋"/>
                <w:highlight w:val="none"/>
              </w:rPr>
              <w:t>根据投标人针对售后服务方案（一）进行综合评审： 售后服务方案能充分结合采购需求，有具体可行的售后服务体系，明确的响应时间，清晰的售后服务承诺，完善的售后服务质量控制措施的，方案能</w:t>
            </w:r>
            <w:r>
              <w:rPr>
                <w:rFonts w:hint="eastAsia" w:ascii="仿宋" w:hAnsi="仿宋" w:eastAsia="仿宋" w:cs="仿宋"/>
                <w:highlight w:val="none"/>
                <w:lang w:val="en-US" w:eastAsia="zh-CN"/>
              </w:rPr>
              <w:t>满足</w:t>
            </w:r>
            <w:r>
              <w:rPr>
                <w:rFonts w:hint="eastAsia" w:ascii="仿宋" w:hAnsi="仿宋" w:eastAsia="仿宋" w:cs="仿宋"/>
                <w:highlight w:val="none"/>
              </w:rPr>
              <w:t>采购需求的</w:t>
            </w:r>
            <w:r>
              <w:rPr>
                <w:rFonts w:hint="eastAsia" w:ascii="仿宋" w:hAnsi="仿宋" w:eastAsia="仿宋" w:cs="仿宋"/>
                <w:highlight w:val="none"/>
                <w:lang w:eastAsia="zh-CN"/>
              </w:rPr>
              <w:t>，</w:t>
            </w:r>
            <w:r>
              <w:rPr>
                <w:rFonts w:hint="eastAsia" w:ascii="仿宋" w:hAnsi="仿宋" w:eastAsia="仿宋" w:cs="仿宋"/>
                <w:highlight w:val="none"/>
                <w:lang w:val="en-US" w:eastAsia="zh-CN"/>
              </w:rPr>
              <w:t>维保期满1年</w:t>
            </w:r>
            <w:r>
              <w:rPr>
                <w:rFonts w:hint="eastAsia" w:ascii="仿宋" w:hAnsi="仿宋" w:eastAsia="仿宋" w:cs="仿宋"/>
                <w:highlight w:val="none"/>
              </w:rPr>
              <w:t>得8分</w:t>
            </w:r>
            <w:r>
              <w:rPr>
                <w:rFonts w:hint="eastAsia" w:ascii="仿宋" w:hAnsi="仿宋" w:eastAsia="仿宋" w:cs="仿宋"/>
                <w:highlight w:val="none"/>
                <w:lang w:eastAsia="zh-CN"/>
              </w:rPr>
              <w:t>，</w:t>
            </w:r>
            <w:r>
              <w:rPr>
                <w:rFonts w:hint="eastAsia" w:ascii="仿宋" w:hAnsi="仿宋" w:eastAsia="仿宋" w:cs="仿宋"/>
                <w:highlight w:val="none"/>
              </w:rPr>
              <w:t>优于采购需求的</w:t>
            </w:r>
            <w:r>
              <w:rPr>
                <w:rFonts w:hint="eastAsia" w:ascii="仿宋" w:hAnsi="仿宋" w:eastAsia="仿宋" w:cs="仿宋"/>
                <w:highlight w:val="none"/>
                <w:lang w:val="en-US" w:eastAsia="zh-CN"/>
              </w:rPr>
              <w:t>且提供的维保期每增加0.5年得1分，最高分</w:t>
            </w:r>
            <w:r>
              <w:rPr>
                <w:rFonts w:hint="eastAsia" w:ascii="仿宋" w:hAnsi="仿宋" w:eastAsia="仿宋" w:cs="仿宋"/>
                <w:highlight w:val="none"/>
              </w:rPr>
              <w:t>得</w:t>
            </w:r>
            <w:r>
              <w:rPr>
                <w:rFonts w:hint="eastAsia" w:ascii="仿宋" w:hAnsi="仿宋" w:eastAsia="仿宋" w:cs="仿宋"/>
                <w:highlight w:val="none"/>
                <w:lang w:val="en-US" w:eastAsia="zh-CN"/>
              </w:rPr>
              <w:t>12</w:t>
            </w:r>
            <w:r>
              <w:rPr>
                <w:rFonts w:hint="eastAsia" w:ascii="仿宋" w:hAnsi="仿宋" w:eastAsia="仿宋" w:cs="仿宋"/>
                <w:highlight w:val="none"/>
              </w:rPr>
              <w:t>分；售后服务方案部分满足采购需求的，得</w:t>
            </w:r>
            <w:r>
              <w:rPr>
                <w:rFonts w:hint="eastAsia" w:ascii="仿宋" w:hAnsi="仿宋" w:eastAsia="仿宋" w:cs="仿宋"/>
                <w:highlight w:val="none"/>
                <w:lang w:val="en-US" w:eastAsia="zh-CN"/>
              </w:rPr>
              <w:t>3</w:t>
            </w:r>
            <w:r>
              <w:rPr>
                <w:rFonts w:hint="eastAsia" w:ascii="仿宋" w:hAnsi="仿宋" w:eastAsia="仿宋" w:cs="仿宋"/>
                <w:highlight w:val="none"/>
              </w:rPr>
              <w:t>分；售后服务方案内容不具备可行性或不提供方案的，不得分。</w:t>
            </w:r>
          </w:p>
        </w:tc>
      </w:tr>
      <w:tr w14:paraId="7F61C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52" w:hRule="atLeast"/>
        </w:trPr>
        <w:tc>
          <w:tcPr>
            <w:tcW w:w="1050" w:type="dxa"/>
            <w:vMerge w:val="continue"/>
            <w:vAlign w:val="center"/>
          </w:tcPr>
          <w:p w14:paraId="01C0E9BB">
            <w:pPr>
              <w:jc w:val="center"/>
              <w:rPr>
                <w:rFonts w:hint="eastAsia" w:ascii="仿宋" w:hAnsi="仿宋" w:eastAsia="仿宋" w:cs="仿宋"/>
                <w:highlight w:val="none"/>
              </w:rPr>
            </w:pPr>
          </w:p>
        </w:tc>
        <w:tc>
          <w:tcPr>
            <w:tcW w:w="2179" w:type="dxa"/>
            <w:shd w:val="clear" w:color="auto" w:fill="auto"/>
            <w:vAlign w:val="center"/>
          </w:tcPr>
          <w:p w14:paraId="06EE3DD4">
            <w:pPr>
              <w:pStyle w:val="4"/>
              <w:jc w:val="center"/>
              <w:rPr>
                <w:rFonts w:hint="eastAsia" w:ascii="仿宋" w:hAnsi="仿宋" w:eastAsia="仿宋" w:cs="仿宋"/>
                <w:highlight w:val="none"/>
                <w:lang w:val="en-US" w:eastAsia="zh-Hans"/>
              </w:rPr>
            </w:pPr>
            <w:r>
              <w:rPr>
                <w:rFonts w:hint="eastAsia" w:ascii="仿宋" w:hAnsi="仿宋" w:eastAsia="仿宋" w:cs="仿宋"/>
                <w:highlight w:val="none"/>
              </w:rPr>
              <w:t>项目人员配置方案 (</w:t>
            </w:r>
            <w:r>
              <w:rPr>
                <w:rFonts w:hint="eastAsia" w:ascii="仿宋" w:hAnsi="仿宋" w:eastAsia="仿宋" w:cs="仿宋"/>
                <w:highlight w:val="none"/>
                <w:lang w:val="en-US" w:eastAsia="zh-CN"/>
              </w:rPr>
              <w:t>4</w:t>
            </w:r>
            <w:r>
              <w:rPr>
                <w:rFonts w:hint="eastAsia" w:ascii="仿宋" w:hAnsi="仿宋" w:eastAsia="仿宋" w:cs="仿宋"/>
                <w:highlight w:val="none"/>
              </w:rPr>
              <w:t>.0分)</w:t>
            </w:r>
          </w:p>
        </w:tc>
        <w:tc>
          <w:tcPr>
            <w:tcW w:w="6709" w:type="dxa"/>
            <w:shd w:val="clear" w:color="auto" w:fill="auto"/>
            <w:vAlign w:val="top"/>
          </w:tcPr>
          <w:p w14:paraId="2C0BCBF7">
            <w:pPr>
              <w:pStyle w:val="4"/>
              <w:jc w:val="left"/>
              <w:rPr>
                <w:rFonts w:hint="eastAsia" w:ascii="仿宋" w:hAnsi="仿宋" w:eastAsia="仿宋" w:cs="仿宋"/>
                <w:highlight w:val="none"/>
                <w:lang w:val="en-US" w:eastAsia="zh-Hans"/>
              </w:rPr>
            </w:pPr>
            <w:r>
              <w:rPr>
                <w:rFonts w:hint="eastAsia" w:ascii="仿宋" w:hAnsi="仿宋" w:eastAsia="仿宋" w:cs="仿宋"/>
                <w:highlight w:val="none"/>
              </w:rPr>
              <w:t>根据投标人制定的本项目项目人员配置方案进行综合评审：项目人员配置方案能结合采购需求，配置人员在人员职称人员数量和人员经历上能贴合项目实施需要，人员分工明确清晰，有详细合理可行的应急人员补充方案，方案能完全满足且优于采购需求的，得</w:t>
            </w:r>
            <w:r>
              <w:rPr>
                <w:rFonts w:hint="eastAsia" w:ascii="仿宋" w:hAnsi="仿宋" w:eastAsia="仿宋" w:cs="仿宋"/>
                <w:highlight w:val="none"/>
                <w:lang w:val="en-US" w:eastAsia="zh-CN"/>
              </w:rPr>
              <w:t>4</w:t>
            </w:r>
            <w:r>
              <w:rPr>
                <w:rFonts w:hint="eastAsia" w:ascii="仿宋" w:hAnsi="仿宋" w:eastAsia="仿宋" w:cs="仿宋"/>
                <w:highlight w:val="none"/>
              </w:rPr>
              <w:t>分；项目人员配置方案能满足采购需求的，得</w:t>
            </w:r>
            <w:r>
              <w:rPr>
                <w:rFonts w:hint="eastAsia" w:ascii="仿宋" w:hAnsi="仿宋" w:eastAsia="仿宋" w:cs="仿宋"/>
                <w:highlight w:val="none"/>
                <w:lang w:val="en-US" w:eastAsia="zh-CN"/>
              </w:rPr>
              <w:t>2</w:t>
            </w:r>
            <w:r>
              <w:rPr>
                <w:rFonts w:hint="eastAsia" w:ascii="仿宋" w:hAnsi="仿宋" w:eastAsia="仿宋" w:cs="仿宋"/>
                <w:highlight w:val="none"/>
              </w:rPr>
              <w:t>分，项目人员配置方案部分满足采购需求的，得</w:t>
            </w:r>
            <w:r>
              <w:rPr>
                <w:rFonts w:hint="eastAsia" w:ascii="仿宋" w:hAnsi="仿宋" w:eastAsia="仿宋" w:cs="仿宋"/>
                <w:highlight w:val="none"/>
                <w:lang w:val="en-US" w:eastAsia="zh-CN"/>
              </w:rPr>
              <w:t>0.5</w:t>
            </w:r>
            <w:r>
              <w:rPr>
                <w:rFonts w:hint="eastAsia" w:ascii="仿宋" w:hAnsi="仿宋" w:eastAsia="仿宋" w:cs="仿宋"/>
                <w:highlight w:val="none"/>
              </w:rPr>
              <w:t>分；项目人员配置方案内容不具备可行性或不提供方案的，不得分。</w:t>
            </w:r>
          </w:p>
        </w:tc>
      </w:tr>
      <w:tr w14:paraId="1A8F9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vAlign w:val="center"/>
          </w:tcPr>
          <w:p w14:paraId="446E8C85">
            <w:pPr>
              <w:pStyle w:val="4"/>
              <w:jc w:val="center"/>
              <w:rPr>
                <w:rFonts w:hint="eastAsia" w:ascii="仿宋" w:hAnsi="仿宋" w:eastAsia="仿宋" w:cs="仿宋"/>
                <w:highlight w:val="none"/>
              </w:rPr>
            </w:pPr>
            <w:r>
              <w:rPr>
                <w:rFonts w:hint="eastAsia" w:ascii="仿宋" w:hAnsi="仿宋" w:eastAsia="仿宋" w:cs="仿宋"/>
                <w:highlight w:val="none"/>
              </w:rPr>
              <w:t>投标报价</w:t>
            </w:r>
          </w:p>
        </w:tc>
        <w:tc>
          <w:tcPr>
            <w:tcW w:w="2179" w:type="dxa"/>
            <w:vAlign w:val="center"/>
          </w:tcPr>
          <w:p w14:paraId="1F55495F">
            <w:pPr>
              <w:pStyle w:val="4"/>
              <w:jc w:val="center"/>
              <w:rPr>
                <w:rFonts w:hint="eastAsia" w:ascii="仿宋" w:hAnsi="仿宋" w:eastAsia="仿宋" w:cs="仿宋"/>
                <w:highlight w:val="none"/>
              </w:rPr>
            </w:pPr>
            <w:r>
              <w:rPr>
                <w:rFonts w:hint="eastAsia" w:ascii="仿宋" w:hAnsi="仿宋" w:eastAsia="仿宋" w:cs="仿宋"/>
                <w:highlight w:val="none"/>
              </w:rPr>
              <w:t>投标报价得分 (</w:t>
            </w:r>
            <w:r>
              <w:rPr>
                <w:rFonts w:hint="eastAsia" w:ascii="仿宋" w:hAnsi="仿宋" w:eastAsia="仿宋" w:cs="仿宋"/>
                <w:highlight w:val="none"/>
                <w:lang w:val="en-US" w:eastAsia="zh-CN"/>
              </w:rPr>
              <w:t>30</w:t>
            </w:r>
            <w:r>
              <w:rPr>
                <w:rFonts w:hint="eastAsia" w:ascii="仿宋" w:hAnsi="仿宋" w:eastAsia="仿宋" w:cs="仿宋"/>
                <w:highlight w:val="none"/>
              </w:rPr>
              <w:t>.0分)</w:t>
            </w:r>
          </w:p>
        </w:tc>
        <w:tc>
          <w:tcPr>
            <w:tcW w:w="6709" w:type="dxa"/>
          </w:tcPr>
          <w:p w14:paraId="47C76185">
            <w:pPr>
              <w:pStyle w:val="4"/>
              <w:jc w:val="left"/>
              <w:rPr>
                <w:rFonts w:hint="eastAsia" w:ascii="仿宋" w:hAnsi="仿宋" w:eastAsia="仿宋" w:cs="仿宋"/>
                <w:highlight w:val="none"/>
              </w:rPr>
            </w:pPr>
            <w:r>
              <w:rPr>
                <w:rFonts w:hint="eastAsia" w:ascii="仿宋" w:hAnsi="仿宋" w:eastAsia="仿宋" w:cs="仿宋"/>
                <w:highlight w:val="none"/>
              </w:rPr>
              <w:t>投标报价得分＝（评标基准价/投标报价）×价格分值【注：满足招标文件要求且投标价格最低的投标报价为评标基准价。】</w:t>
            </w:r>
          </w:p>
        </w:tc>
      </w:tr>
      <w:tr w14:paraId="5E2B6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vAlign w:val="center"/>
          </w:tcPr>
          <w:p w14:paraId="7CA4E9F1">
            <w:pPr>
              <w:pStyle w:val="4"/>
              <w:jc w:val="center"/>
              <w:rPr>
                <w:rFonts w:hint="eastAsia" w:ascii="仿宋" w:hAnsi="仿宋" w:eastAsia="仿宋" w:cs="仿宋"/>
                <w:highlight w:val="none"/>
              </w:rPr>
            </w:pPr>
            <w:r>
              <w:rPr>
                <w:rFonts w:hint="eastAsia" w:ascii="仿宋" w:hAnsi="仿宋" w:eastAsia="仿宋" w:cs="仿宋"/>
                <w:highlight w:val="none"/>
              </w:rPr>
              <w:t>综合信用分</w:t>
            </w:r>
          </w:p>
        </w:tc>
        <w:tc>
          <w:tcPr>
            <w:tcW w:w="2179" w:type="dxa"/>
            <w:vAlign w:val="center"/>
          </w:tcPr>
          <w:p w14:paraId="0BFAD6A8">
            <w:pPr>
              <w:pStyle w:val="4"/>
              <w:jc w:val="center"/>
              <w:rPr>
                <w:rFonts w:hint="eastAsia" w:ascii="仿宋" w:hAnsi="仿宋" w:eastAsia="仿宋" w:cs="仿宋"/>
                <w:highlight w:val="none"/>
              </w:rPr>
            </w:pPr>
            <w:r>
              <w:rPr>
                <w:rFonts w:hint="eastAsia" w:ascii="仿宋" w:hAnsi="仿宋" w:eastAsia="仿宋" w:cs="仿宋"/>
                <w:highlight w:val="none"/>
              </w:rPr>
              <w:t>综合信用评价 (</w:t>
            </w:r>
            <w:r>
              <w:rPr>
                <w:rFonts w:hint="eastAsia" w:ascii="仿宋" w:hAnsi="仿宋" w:eastAsia="仿宋" w:cs="仿宋"/>
                <w:highlight w:val="none"/>
                <w:lang w:val="en-US" w:eastAsia="zh-CN"/>
              </w:rPr>
              <w:t>2</w:t>
            </w:r>
            <w:r>
              <w:rPr>
                <w:rFonts w:hint="eastAsia" w:ascii="仿宋" w:hAnsi="仿宋" w:eastAsia="仿宋" w:cs="仿宋"/>
                <w:highlight w:val="none"/>
              </w:rPr>
              <w:t>.0分)</w:t>
            </w:r>
          </w:p>
        </w:tc>
        <w:tc>
          <w:tcPr>
            <w:tcW w:w="6709" w:type="dxa"/>
          </w:tcPr>
          <w:p w14:paraId="7D7248E5">
            <w:pPr>
              <w:pStyle w:val="4"/>
              <w:jc w:val="left"/>
              <w:rPr>
                <w:rFonts w:hint="eastAsia" w:ascii="仿宋" w:hAnsi="仿宋" w:eastAsia="仿宋" w:cs="仿宋"/>
                <w:highlight w:val="none"/>
              </w:rPr>
            </w:pPr>
            <w:r>
              <w:rPr>
                <w:rFonts w:hint="eastAsia" w:ascii="仿宋" w:hAnsi="仿宋" w:eastAsia="仿宋" w:cs="仿宋"/>
                <w:highlight w:val="none"/>
              </w:rPr>
              <w:t>综合信用评价得分=综合信用评价得分(属于商务部分的一部分)=投标人的</w:t>
            </w:r>
            <w:r>
              <w:rPr>
                <w:rFonts w:hint="eastAsia" w:ascii="仿宋" w:hAnsi="仿宋" w:eastAsia="仿宋" w:cs="仿宋"/>
                <w:highlight w:val="none"/>
                <w:lang w:val="en-US" w:eastAsia="zh-CN"/>
              </w:rPr>
              <w:t>上海</w:t>
            </w:r>
            <w:r>
              <w:rPr>
                <w:rFonts w:hint="eastAsia" w:ascii="仿宋" w:hAnsi="仿宋" w:eastAsia="仿宋" w:cs="仿宋"/>
                <w:highlight w:val="none"/>
              </w:rPr>
              <w:t>公共资源交易信用评价（政府采购供应商信用评价分）×5%。 未能在网站查询到供应商信用评价分的，以当天信用评价基准分计算）。供应商为联合体的，以牵头方信用评价分计算。</w:t>
            </w:r>
          </w:p>
        </w:tc>
      </w:tr>
    </w:tbl>
    <w:p w14:paraId="71E6D6A3">
      <w:pPr>
        <w:ind w:firstLine="560" w:firstLineChars="200"/>
        <w:rPr>
          <w:rFonts w:hint="eastAsia" w:ascii="仿宋" w:hAnsi="仿宋" w:eastAsia="仿宋" w:cs="仿宋"/>
          <w:sz w:val="28"/>
          <w:szCs w:val="28"/>
          <w:lang w:val="en-US" w:eastAsia="zh-CN"/>
        </w:rPr>
      </w:pPr>
    </w:p>
    <w:p w14:paraId="3BC12613"/>
    <w:sectPr>
      <w:pgSz w:w="11906" w:h="16838"/>
      <w:pgMar w:top="1497" w:right="1080" w:bottom="873" w:left="1080" w:header="851" w:footer="992" w:gutter="0"/>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F5691"/>
    <w:rsid w:val="475F5691"/>
    <w:rsid w:val="5D506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2025-10-10T01:03:00Z</dcterms:created>
  <dc:creator>ZLH</dc:creator>
  <cp:lastModifiedBy>ZLH</cp:lastModifiedBy>
  <dcterms:modified xsi:type="dcterms:W3CDTF">2025-10-10T01:06:41Z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9C72EAEE4130401CB724DF501E4712DC_11</vt:lpwstr>
  </property>
  <property fmtid="{D5CDD505-2E9C-101B-9397-08002B2CF9AE}" pid="4" name="KSOTemplateDocerSaveRecord">
    <vt:lpwstr>eyJoZGlkIjoiN2VhNjk1NDU4YmM1NjY4ZjI0ZDc3OGVmOWJhMjg1MzAiLCJ1c2VySWQiOiI0MzgxNDUwNDAifQ==</vt:lpwstr>
  </property>
</Properties>
</file>