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A4F47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</w:t>
      </w:r>
      <w:r>
        <w:rPr>
          <w:rFonts w:hint="eastAsia" w:asci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评分标准</w:t>
      </w:r>
    </w:p>
    <w:tbl>
      <w:tblPr>
        <w:tblStyle w:val="5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93"/>
        <w:gridCol w:w="1418"/>
        <w:gridCol w:w="850"/>
        <w:gridCol w:w="5408"/>
      </w:tblGrid>
      <w:tr w14:paraId="4C40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45" w:type="dxa"/>
            <w:vAlign w:val="center"/>
          </w:tcPr>
          <w:p w14:paraId="3E8121F5">
            <w:pPr>
              <w:spacing w:line="360" w:lineRule="auto"/>
              <w:ind w:left="-178" w:leftChars="-85" w:right="-174" w:rightChars="-83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293" w:type="dxa"/>
            <w:vAlign w:val="center"/>
          </w:tcPr>
          <w:p w14:paraId="7B009CA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14:paraId="61878F8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计分内容</w:t>
            </w:r>
          </w:p>
        </w:tc>
        <w:tc>
          <w:tcPr>
            <w:tcW w:w="850" w:type="dxa"/>
            <w:vAlign w:val="center"/>
          </w:tcPr>
          <w:p w14:paraId="289A49D2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分值</w:t>
            </w:r>
          </w:p>
        </w:tc>
        <w:tc>
          <w:tcPr>
            <w:tcW w:w="5408" w:type="dxa"/>
            <w:vAlign w:val="center"/>
          </w:tcPr>
          <w:p w14:paraId="420EC8F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   分   标   准</w:t>
            </w:r>
          </w:p>
        </w:tc>
      </w:tr>
      <w:tr w14:paraId="4BC7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545" w:type="dxa"/>
            <w:vAlign w:val="center"/>
          </w:tcPr>
          <w:p w14:paraId="64F1A572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</w:tc>
        <w:tc>
          <w:tcPr>
            <w:tcW w:w="1293" w:type="dxa"/>
            <w:vAlign w:val="center"/>
          </w:tcPr>
          <w:p w14:paraId="256500EC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报价10分</w:t>
            </w:r>
          </w:p>
          <w:p w14:paraId="2EE136E7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（客观分）</w:t>
            </w:r>
          </w:p>
        </w:tc>
        <w:tc>
          <w:tcPr>
            <w:tcW w:w="1418" w:type="dxa"/>
            <w:vAlign w:val="center"/>
          </w:tcPr>
          <w:p w14:paraId="1103F53E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投标总报价</w:t>
            </w:r>
          </w:p>
        </w:tc>
        <w:tc>
          <w:tcPr>
            <w:tcW w:w="850" w:type="dxa"/>
            <w:vAlign w:val="center"/>
          </w:tcPr>
          <w:p w14:paraId="5FE3FD46">
            <w:pPr>
              <w:pStyle w:val="4"/>
              <w:tabs>
                <w:tab w:val="left" w:pos="420"/>
              </w:tabs>
              <w:spacing w:line="360" w:lineRule="auto"/>
              <w:rPr>
                <w:rFonts w:ascii="宋体" w:hAnsi="宋体" w:eastAsia="宋体" w:cs="宋体"/>
                <w:b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</w:rPr>
              <w:t>0-10</w:t>
            </w:r>
          </w:p>
        </w:tc>
        <w:tc>
          <w:tcPr>
            <w:tcW w:w="5408" w:type="dxa"/>
            <w:vAlign w:val="center"/>
          </w:tcPr>
          <w:p w14:paraId="487857A5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报价得分＝(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基准价／最后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报价)×10；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基准价是经初审合格（符合实质性要求，无重大缺、漏项）满足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szCs w:val="21"/>
              </w:rPr>
              <w:t>文件要求且最终报价价格最低的报价，其价格分为满分。</w:t>
            </w:r>
          </w:p>
        </w:tc>
      </w:tr>
      <w:tr w14:paraId="0537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45" w:type="dxa"/>
            <w:vAlign w:val="center"/>
          </w:tcPr>
          <w:p w14:paraId="35FE01F0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1293" w:type="dxa"/>
            <w:vAlign w:val="center"/>
          </w:tcPr>
          <w:p w14:paraId="6C9D243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业绩10分（客观分）</w:t>
            </w:r>
          </w:p>
        </w:tc>
        <w:tc>
          <w:tcPr>
            <w:tcW w:w="1418" w:type="dxa"/>
            <w:vAlign w:val="center"/>
          </w:tcPr>
          <w:p w14:paraId="6383052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类似项目业绩</w:t>
            </w:r>
          </w:p>
        </w:tc>
        <w:tc>
          <w:tcPr>
            <w:tcW w:w="850" w:type="dxa"/>
            <w:vAlign w:val="center"/>
          </w:tcPr>
          <w:p w14:paraId="3469ABC5">
            <w:pPr>
              <w:spacing w:line="360" w:lineRule="auto"/>
              <w:ind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0-10</w:t>
            </w:r>
          </w:p>
        </w:tc>
        <w:tc>
          <w:tcPr>
            <w:tcW w:w="5408" w:type="dxa"/>
            <w:vAlign w:val="center"/>
          </w:tcPr>
          <w:p w14:paraId="54EF6F0B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业绩起始日期为递交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响应文件截止之日起往前推三年，根据供应商完成的或进行的类似项目业绩进行评分（需提供有效的合同复印件，合同复印件需提供合同关键页和首尾签字盖章页）。</w:t>
            </w:r>
          </w:p>
          <w:p w14:paraId="0083E7F8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符合1个得2分，最高不超过10分。</w:t>
            </w:r>
          </w:p>
          <w:p w14:paraId="5F66C8F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是否属于有效的类似项目业绩由</w:t>
            </w:r>
            <w:r>
              <w:rPr>
                <w:rFonts w:hint="eastAsia" w:ascii="宋体" w:hAnsi="宋体" w:cs="宋体"/>
                <w:spacing w:val="-2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pacing w:val="-2"/>
                <w:szCs w:val="21"/>
              </w:rPr>
              <w:t>小组根据供应商提供的业绩在业务内容、技术特点等方面与本项目的类似程度进行认定。</w:t>
            </w:r>
          </w:p>
        </w:tc>
      </w:tr>
      <w:tr w14:paraId="4CB0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545" w:type="dxa"/>
            <w:vAlign w:val="center"/>
          </w:tcPr>
          <w:p w14:paraId="45E9EE6D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1293" w:type="dxa"/>
            <w:vAlign w:val="center"/>
          </w:tcPr>
          <w:p w14:paraId="3A6C93A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文件的响应程度5分</w:t>
            </w:r>
          </w:p>
        </w:tc>
        <w:tc>
          <w:tcPr>
            <w:tcW w:w="1418" w:type="dxa"/>
            <w:vAlign w:val="center"/>
          </w:tcPr>
          <w:p w14:paraId="726A4A0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文件的响应程度</w:t>
            </w:r>
          </w:p>
        </w:tc>
        <w:tc>
          <w:tcPr>
            <w:tcW w:w="850" w:type="dxa"/>
            <w:vAlign w:val="center"/>
          </w:tcPr>
          <w:p w14:paraId="72A619B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0-5</w:t>
            </w:r>
          </w:p>
        </w:tc>
        <w:tc>
          <w:tcPr>
            <w:tcW w:w="5408" w:type="dxa"/>
            <w:vAlign w:val="center"/>
          </w:tcPr>
          <w:p w14:paraId="6935B6BB">
            <w:pPr>
              <w:spacing w:line="360" w:lineRule="auto"/>
              <w:ind w:firstLine="309" w:firstLineChars="150"/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spacing w:val="-2"/>
                <w:szCs w:val="21"/>
              </w:rPr>
              <w:t>根据各响应文件对本项目要求的响应程度酌情打分，好得4-5分，较好得2-3分，一般得1分，差得0分。</w:t>
            </w:r>
          </w:p>
        </w:tc>
      </w:tr>
      <w:tr w14:paraId="62BD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5" w:type="dxa"/>
            <w:vMerge w:val="restart"/>
            <w:vAlign w:val="center"/>
          </w:tcPr>
          <w:p w14:paraId="18E64CBD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1293" w:type="dxa"/>
            <w:vMerge w:val="restart"/>
            <w:vAlign w:val="center"/>
          </w:tcPr>
          <w:p w14:paraId="561AB57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服务能力</w:t>
            </w:r>
          </w:p>
          <w:p w14:paraId="59B0890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5分</w:t>
            </w:r>
          </w:p>
          <w:p w14:paraId="6485692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（客观分）</w:t>
            </w:r>
          </w:p>
        </w:tc>
        <w:tc>
          <w:tcPr>
            <w:tcW w:w="1418" w:type="dxa"/>
            <w:vAlign w:val="center"/>
          </w:tcPr>
          <w:p w14:paraId="6D1F929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服务能力</w:t>
            </w:r>
          </w:p>
        </w:tc>
        <w:tc>
          <w:tcPr>
            <w:tcW w:w="850" w:type="dxa"/>
            <w:vAlign w:val="center"/>
          </w:tcPr>
          <w:p w14:paraId="6F47CF7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0-5</w:t>
            </w:r>
          </w:p>
        </w:tc>
        <w:tc>
          <w:tcPr>
            <w:tcW w:w="5408" w:type="dxa"/>
            <w:vAlign w:val="center"/>
          </w:tcPr>
          <w:p w14:paraId="30EF3158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供应商具备</w:t>
            </w:r>
            <w:r>
              <w:rPr>
                <w:rFonts w:hint="eastAsia" w:ascii="宋体" w:hAnsi="宋体" w:cs="宋体"/>
                <w:spacing w:val="-2"/>
                <w:szCs w:val="21"/>
              </w:rPr>
              <w:t>在有效期内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pacing w:val="-2"/>
                <w:szCs w:val="21"/>
              </w:rPr>
              <w:t>质量管理体系认证证书（ISO9001或GB/T19001）并提供复印件,</w:t>
            </w:r>
            <w:r>
              <w:rPr>
                <w:rFonts w:hint="eastAsia" w:ascii="宋体" w:hAnsi="宋体" w:cs="宋体"/>
                <w:szCs w:val="21"/>
              </w:rPr>
              <w:t>有一项得1分，最高不超过2分。未提供或不符合要求的不得分。</w:t>
            </w:r>
          </w:p>
          <w:p w14:paraId="6344D575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供应商具有教学资源类著作权证书并提供复印件，供应商具备合同信用等级证书并提供复印件，有一项得1分，最高不超过3分。未提供或不符合要求的不得分。</w:t>
            </w:r>
          </w:p>
        </w:tc>
      </w:tr>
      <w:tr w14:paraId="0445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exact"/>
          <w:jc w:val="center"/>
        </w:trPr>
        <w:tc>
          <w:tcPr>
            <w:tcW w:w="545" w:type="dxa"/>
            <w:vMerge w:val="restart"/>
            <w:vAlign w:val="center"/>
          </w:tcPr>
          <w:p w14:paraId="27F5965F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1293" w:type="dxa"/>
            <w:vMerge w:val="restart"/>
            <w:vAlign w:val="center"/>
          </w:tcPr>
          <w:p w14:paraId="139681F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服务方案70分</w:t>
            </w:r>
          </w:p>
        </w:tc>
        <w:tc>
          <w:tcPr>
            <w:tcW w:w="1418" w:type="dxa"/>
            <w:vAlign w:val="center"/>
          </w:tcPr>
          <w:p w14:paraId="1005D20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需求分析与理解</w:t>
            </w:r>
          </w:p>
        </w:tc>
        <w:tc>
          <w:tcPr>
            <w:tcW w:w="850" w:type="dxa"/>
            <w:vAlign w:val="center"/>
          </w:tcPr>
          <w:p w14:paraId="4A58225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0-9</w:t>
            </w:r>
          </w:p>
        </w:tc>
        <w:tc>
          <w:tcPr>
            <w:tcW w:w="5408" w:type="dxa"/>
            <w:vAlign w:val="center"/>
          </w:tcPr>
          <w:p w14:paraId="3229AFAE"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根据供应商提供的方案与采购人需求的吻合度，包括对采购人建设的要求是否满足，对项目需求分析是否合理，方案设计需基于线上课程资源建设内容的理解深入，内容表述清晰，提供多种拍摄模式，并有模式描述，后期制作手段丰富，好得7-9分，较好得4-6分，一般得1-3分，差得0分。</w:t>
            </w:r>
          </w:p>
        </w:tc>
      </w:tr>
      <w:tr w14:paraId="1CED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4" w:hRule="exact"/>
          <w:jc w:val="center"/>
        </w:trPr>
        <w:tc>
          <w:tcPr>
            <w:tcW w:w="545" w:type="dxa"/>
            <w:vMerge w:val="continue"/>
            <w:vAlign w:val="center"/>
          </w:tcPr>
          <w:p w14:paraId="7A035C3E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</w:p>
        </w:tc>
        <w:tc>
          <w:tcPr>
            <w:tcW w:w="1293" w:type="dxa"/>
            <w:vMerge w:val="continue"/>
            <w:vAlign w:val="center"/>
          </w:tcPr>
          <w:p w14:paraId="6DF6BF31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14:paraId="2E11A0A1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课程整体方案策划、具体实施方案</w:t>
            </w:r>
          </w:p>
        </w:tc>
        <w:tc>
          <w:tcPr>
            <w:tcW w:w="850" w:type="dxa"/>
            <w:vAlign w:val="center"/>
          </w:tcPr>
          <w:p w14:paraId="754C14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0-30</w:t>
            </w:r>
          </w:p>
        </w:tc>
        <w:tc>
          <w:tcPr>
            <w:tcW w:w="5408" w:type="dxa"/>
            <w:vAlign w:val="center"/>
          </w:tcPr>
          <w:p w14:paraId="02C06405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整体服务方案针对性强、对本项目的功能和要求理解全面和透彻、总体思路和整体框架符合招标的实际需求的、资源内容全面覆盖对应的要求，能提供中文资源和双语资源及课程在</w:t>
            </w:r>
            <w:r>
              <w:rPr>
                <w:rFonts w:hint="eastAsia"/>
              </w:rPr>
              <w:t>CATECP（中国-东盟技术教育合作平台）收录证书</w:t>
            </w:r>
            <w:r>
              <w:rPr>
                <w:rFonts w:hint="eastAsia" w:ascii="宋体" w:hAnsi="宋体" w:cs="宋体"/>
                <w:szCs w:val="21"/>
              </w:rPr>
              <w:t>得26-30分；</w:t>
            </w:r>
          </w:p>
          <w:p w14:paraId="29C9CD4A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服务方案针对性基本完整可行，对本项目的功能和要求理解较全面和透彻、总体思路、整体框架较符合招标的实际需求的、资源内容基本覆盖对应的要求，能提供中文资源和双语资源及课程在</w:t>
            </w:r>
            <w:r>
              <w:rPr>
                <w:rFonts w:hint="eastAsia"/>
              </w:rPr>
              <w:t>CATECP（中国-东盟技术教育合作平台）收录证书</w:t>
            </w:r>
            <w:r>
              <w:rPr>
                <w:rFonts w:hint="eastAsia" w:ascii="宋体" w:hAnsi="宋体" w:cs="宋体"/>
                <w:szCs w:val="21"/>
              </w:rPr>
              <w:t>得15-25分；</w:t>
            </w:r>
          </w:p>
          <w:p w14:paraId="3DD54F93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针对性不强，对本项目功能和要求理解一般，总体思路和整体框架基本符合招标需求，资源内容部分涵盖对应的要求，能提供双语资源及课程在其他海外平台收录证书的得1-5分；</w:t>
            </w:r>
          </w:p>
          <w:p w14:paraId="3B5A9404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差得0分。</w:t>
            </w:r>
          </w:p>
        </w:tc>
      </w:tr>
      <w:tr w14:paraId="7193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exact"/>
          <w:jc w:val="center"/>
        </w:trPr>
        <w:tc>
          <w:tcPr>
            <w:tcW w:w="545" w:type="dxa"/>
            <w:vMerge w:val="continue"/>
            <w:vAlign w:val="center"/>
          </w:tcPr>
          <w:p w14:paraId="54D379E1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</w:p>
        </w:tc>
        <w:tc>
          <w:tcPr>
            <w:tcW w:w="1293" w:type="dxa"/>
            <w:vMerge w:val="continue"/>
            <w:vAlign w:val="center"/>
          </w:tcPr>
          <w:p w14:paraId="4FF7A03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14:paraId="69C9C13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课程资源演示</w:t>
            </w:r>
          </w:p>
        </w:tc>
        <w:tc>
          <w:tcPr>
            <w:tcW w:w="850" w:type="dxa"/>
            <w:vAlign w:val="center"/>
          </w:tcPr>
          <w:p w14:paraId="7C05F1A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0-8</w:t>
            </w:r>
          </w:p>
        </w:tc>
        <w:tc>
          <w:tcPr>
            <w:tcW w:w="5408" w:type="dxa"/>
            <w:vAlign w:val="center"/>
          </w:tcPr>
          <w:p w14:paraId="0B15A1D7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文件中规定的演示要求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录制</w:t>
            </w:r>
            <w:r>
              <w:rPr>
                <w:rFonts w:hint="eastAsia" w:ascii="宋体" w:hAnsi="宋体" w:cs="宋体"/>
                <w:szCs w:val="21"/>
              </w:rPr>
              <w:t>演示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内容，拷贝在U盘中</w:t>
            </w:r>
            <w:r>
              <w:rPr>
                <w:rFonts w:hint="eastAsia" w:ascii="宋体" w:hAnsi="宋体" w:cs="宋体"/>
                <w:szCs w:val="21"/>
              </w:rPr>
              <w:t>，根据演示的内容是否符合采购人的演示具体要求，内容是否完整进行打分。</w:t>
            </w:r>
            <w:bookmarkStart w:id="0" w:name="_GoBack"/>
            <w:bookmarkEnd w:id="0"/>
          </w:p>
          <w:p w14:paraId="57EE71DF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好得5-8分，较好得3-4分，一般得1-2分，差得0分。</w:t>
            </w:r>
          </w:p>
        </w:tc>
      </w:tr>
      <w:tr w14:paraId="5F6A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545" w:type="dxa"/>
            <w:vMerge w:val="continue"/>
            <w:vAlign w:val="center"/>
          </w:tcPr>
          <w:p w14:paraId="3D80F54E">
            <w:pPr>
              <w:spacing w:line="360" w:lineRule="auto"/>
              <w:ind w:left="-178" w:leftChars="-85" w:right="-107" w:rightChars="-51"/>
              <w:jc w:val="center"/>
              <w:rPr>
                <w:rFonts w:ascii="宋体" w:hAnsi="宋体" w:cs="宋体"/>
              </w:rPr>
            </w:pPr>
          </w:p>
        </w:tc>
        <w:tc>
          <w:tcPr>
            <w:tcW w:w="1293" w:type="dxa"/>
            <w:vMerge w:val="continue"/>
            <w:vAlign w:val="center"/>
          </w:tcPr>
          <w:p w14:paraId="174F87BB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14:paraId="6116D4F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项目经理及各岗位人员配备方案及人员能力</w:t>
            </w:r>
          </w:p>
        </w:tc>
        <w:tc>
          <w:tcPr>
            <w:tcW w:w="850" w:type="dxa"/>
            <w:vAlign w:val="center"/>
          </w:tcPr>
          <w:p w14:paraId="43F5053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0-10</w:t>
            </w:r>
          </w:p>
        </w:tc>
        <w:tc>
          <w:tcPr>
            <w:tcW w:w="5408" w:type="dxa"/>
            <w:vAlign w:val="center"/>
          </w:tcPr>
          <w:p w14:paraId="29D6B227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根据拟派人员相关从业经验、岗位证书、社保证明、资格证书、荣誉证书、是否符合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cs="宋体"/>
                <w:szCs w:val="21"/>
              </w:rPr>
              <w:t>文件要求等内容进行打分。</w:t>
            </w:r>
          </w:p>
          <w:p w14:paraId="2C7D5677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好得8-10分，较好得5-7分，一般得1-4分，差得0分。</w:t>
            </w:r>
          </w:p>
        </w:tc>
      </w:tr>
      <w:tr w14:paraId="5E5A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545" w:type="dxa"/>
            <w:vMerge w:val="continue"/>
            <w:vAlign w:val="center"/>
          </w:tcPr>
          <w:p w14:paraId="2052A88A">
            <w:pPr>
              <w:spacing w:line="360" w:lineRule="auto"/>
              <w:ind w:right="-107" w:rightChars="-51"/>
              <w:jc w:val="center"/>
              <w:outlineLvl w:val="0"/>
              <w:rPr>
                <w:rFonts w:ascii="宋体" w:hAnsi="宋体" w:cs="宋体"/>
              </w:rPr>
            </w:pPr>
          </w:p>
        </w:tc>
        <w:tc>
          <w:tcPr>
            <w:tcW w:w="1293" w:type="dxa"/>
            <w:vMerge w:val="continue"/>
            <w:vAlign w:val="center"/>
          </w:tcPr>
          <w:p w14:paraId="1E1868A3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14:paraId="2972F90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项目的组织管理、实施方案</w:t>
            </w:r>
          </w:p>
        </w:tc>
        <w:tc>
          <w:tcPr>
            <w:tcW w:w="850" w:type="dxa"/>
            <w:vAlign w:val="center"/>
          </w:tcPr>
          <w:p w14:paraId="3AC843C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0-5</w:t>
            </w:r>
          </w:p>
        </w:tc>
        <w:tc>
          <w:tcPr>
            <w:tcW w:w="5408" w:type="dxa"/>
            <w:vAlign w:val="center"/>
          </w:tcPr>
          <w:p w14:paraId="2FDD1903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根据供应商提供的对项目组织及管理、实施方案的合理性、针对性、可行性，质量、进度保障措施与相关协调配合措施等方面进行评分。</w:t>
            </w:r>
          </w:p>
          <w:p w14:paraId="50155B42"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好得4-5分，较好得2-3分，一般得1-2分，差得0分。</w:t>
            </w:r>
          </w:p>
        </w:tc>
      </w:tr>
      <w:tr w14:paraId="3B90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545" w:type="dxa"/>
            <w:vMerge w:val="continue"/>
            <w:vAlign w:val="center"/>
          </w:tcPr>
          <w:p w14:paraId="60025678">
            <w:pPr>
              <w:spacing w:line="360" w:lineRule="auto"/>
              <w:ind w:right="-107" w:rightChars="-51"/>
              <w:jc w:val="center"/>
              <w:outlineLvl w:val="0"/>
              <w:rPr>
                <w:rFonts w:ascii="宋体" w:hAnsi="宋体" w:cs="宋体"/>
              </w:rPr>
            </w:pPr>
          </w:p>
        </w:tc>
        <w:tc>
          <w:tcPr>
            <w:tcW w:w="1293" w:type="dxa"/>
            <w:vMerge w:val="continue"/>
            <w:vAlign w:val="center"/>
          </w:tcPr>
          <w:p w14:paraId="54BC3334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418" w:type="dxa"/>
            <w:vAlign w:val="center"/>
          </w:tcPr>
          <w:p w14:paraId="5305242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保障措施与突发事件的应急预案、增值服务</w:t>
            </w:r>
          </w:p>
        </w:tc>
        <w:tc>
          <w:tcPr>
            <w:tcW w:w="850" w:type="dxa"/>
            <w:vAlign w:val="center"/>
          </w:tcPr>
          <w:p w14:paraId="074923A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0-8</w:t>
            </w:r>
          </w:p>
        </w:tc>
        <w:tc>
          <w:tcPr>
            <w:tcW w:w="5408" w:type="dxa"/>
            <w:vAlign w:val="center"/>
          </w:tcPr>
          <w:p w14:paraId="1BEA2ABE">
            <w:pPr>
              <w:spacing w:line="360" w:lineRule="auto"/>
              <w:ind w:firstLine="420" w:firstLineChars="2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根据供应商提供的保障措施、应急预案、增值服务是否针对性强、设想全面、定位明确、可行等方面进行打分。</w:t>
            </w:r>
          </w:p>
          <w:p w14:paraId="017689C7">
            <w:pPr>
              <w:spacing w:line="360" w:lineRule="auto"/>
              <w:ind w:firstLine="420" w:firstLineChars="20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好得7-8分，较好得5-6分，一般得0.5-4.5分，差得0分。</w:t>
            </w:r>
          </w:p>
        </w:tc>
      </w:tr>
    </w:tbl>
    <w:p w14:paraId="1CAF2ACE">
      <w:pPr>
        <w:spacing w:line="360" w:lineRule="auto"/>
        <w:rPr>
          <w:szCs w:val="21"/>
        </w:rPr>
      </w:pPr>
    </w:p>
    <w:p w14:paraId="1EFD746B">
      <w:pPr>
        <w:spacing w:line="360" w:lineRule="auto"/>
        <w:rPr>
          <w:szCs w:val="21"/>
        </w:rPr>
      </w:pPr>
    </w:p>
    <w:p w14:paraId="3A4CCE87">
      <w:pPr>
        <w:spacing w:line="360" w:lineRule="auto"/>
        <w:rPr>
          <w:szCs w:val="21"/>
        </w:rPr>
      </w:pPr>
      <w:r>
        <w:rPr>
          <w:rFonts w:hint="eastAsia"/>
          <w:szCs w:val="21"/>
        </w:rPr>
        <w:t>本项目采用综合评分法。本项目将以</w:t>
      </w:r>
      <w:r>
        <w:rPr>
          <w:rFonts w:hint="eastAsia"/>
          <w:szCs w:val="21"/>
          <w:lang w:eastAsia="zh-CN"/>
        </w:rPr>
        <w:t>投标</w:t>
      </w:r>
      <w:r>
        <w:rPr>
          <w:rFonts w:hint="eastAsia"/>
          <w:szCs w:val="21"/>
        </w:rPr>
        <w:t>文件中的各项要求作为对响应文件进行全面评价的依据，采用百分制评标法决定成交供应商。本评标办法总分100分。投标报价的评审打分精确到0.01分，其他各项评审要点均精确到0.5分。各项评审要点得分不得超过该项的总分值。</w:t>
      </w:r>
    </w:p>
    <w:p w14:paraId="0A91BD28">
      <w:pPr>
        <w:spacing w:line="360" w:lineRule="auto"/>
        <w:rPr>
          <w:szCs w:val="21"/>
        </w:rPr>
      </w:pPr>
    </w:p>
    <w:p w14:paraId="13E551D4"/>
    <w:sectPr>
      <w:footerReference r:id="rId3" w:type="default"/>
      <w:pgSz w:w="11906" w:h="16838"/>
      <w:pgMar w:top="1497" w:right="1080" w:bottom="873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920442"/>
    </w:sdtPr>
    <w:sdtContent>
      <w:sdt>
        <w:sdtPr>
          <w:id w:val="1728636285"/>
        </w:sdtPr>
        <w:sdtContent>
          <w:p w14:paraId="726AA659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AD19F0"/>
    <w:rsid w:val="000B565F"/>
    <w:rsid w:val="000D189B"/>
    <w:rsid w:val="00106D2D"/>
    <w:rsid w:val="001E27D4"/>
    <w:rsid w:val="001F547A"/>
    <w:rsid w:val="0022485E"/>
    <w:rsid w:val="00260054"/>
    <w:rsid w:val="00261A2F"/>
    <w:rsid w:val="002E520A"/>
    <w:rsid w:val="00376299"/>
    <w:rsid w:val="003F406D"/>
    <w:rsid w:val="004F231B"/>
    <w:rsid w:val="00511CB2"/>
    <w:rsid w:val="00530F93"/>
    <w:rsid w:val="005E6DA4"/>
    <w:rsid w:val="006D23F9"/>
    <w:rsid w:val="006D61AE"/>
    <w:rsid w:val="007A61DF"/>
    <w:rsid w:val="007D389C"/>
    <w:rsid w:val="007E4D4E"/>
    <w:rsid w:val="008E3AF9"/>
    <w:rsid w:val="009D4D45"/>
    <w:rsid w:val="00BB1598"/>
    <w:rsid w:val="00BF2212"/>
    <w:rsid w:val="00D80AD9"/>
    <w:rsid w:val="00EC7D0D"/>
    <w:rsid w:val="00FC2AC8"/>
    <w:rsid w:val="41AD19F0"/>
    <w:rsid w:val="42B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qFormat/>
    <w:uiPriority w:val="0"/>
    <w:pPr>
      <w:jc w:val="center"/>
    </w:pPr>
    <w:rPr>
      <w:rFonts w:asciiTheme="minorHAnsi" w:hAnsiTheme="minorHAnsi" w:eastAsiaTheme="minorEastAsia" w:cstheme="minorBidi"/>
      <w:b/>
      <w:bCs/>
      <w:sz w:val="72"/>
      <w:szCs w:val="21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正文文本 2 字符"/>
    <w:basedOn w:val="6"/>
    <w:link w:val="4"/>
    <w:uiPriority w:val="0"/>
    <w:rPr>
      <w:b/>
      <w:bCs/>
      <w:kern w:val="2"/>
      <w:sz w:val="7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1440</Words>
  <Characters>1549</Characters>
  <Lines>1</Lines>
  <Paragraphs>3</Paragraphs>
  <TotalTime>30</TotalTime>
  <ScaleCrop>false</ScaleCrop>
  <LinksUpToDate>false</LinksUpToDate>
  <CharactersWithSpaces>1558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2025-08-14T23:39:00Z</dcterms:created>
  <dc:creator>ZLH</dc:creator>
  <cp:lastModifiedBy>ZLH</cp:lastModifiedBy>
  <dcterms:modified xsi:type="dcterms:W3CDTF">2025-09-18T06:25:48Z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D29B32151CC64B469828F882923D1C8F_11</vt:lpwstr>
  </property>
  <property fmtid="{D5CDD505-2E9C-101B-9397-08002B2CF9AE}" pid="4" name="KSOTemplateDocerSaveRecord">
    <vt:lpwstr>eyJoZGlkIjoiN2VhNjk1NDU4YmM1NjY4ZjI0ZDc3OGVmOWJhMjg1MzAiLCJ1c2VySWQiOiI0MzgxNDUwNDAifQ==</vt:lpwstr>
  </property>
</Properties>
</file>