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5B529">
      <w:pPr>
        <w:pStyle w:val="4"/>
        <w:ind w:firstLine="0" w:firstLineChars="0"/>
      </w:pPr>
      <w:r>
        <w:rPr>
          <w:rFonts w:hint="eastAsia"/>
        </w:rPr>
        <w:t>评分标准</w:t>
      </w:r>
      <w:r>
        <w:rPr>
          <w:rFonts w:hint="eastAsia"/>
          <w:color w:val="auto"/>
        </w:rPr>
        <w:t>：机电一体化实训中心改造开</w:t>
      </w:r>
      <w:r>
        <w:rPr>
          <w:rFonts w:hint="eastAsia"/>
        </w:rPr>
        <w:t>标评分表</w:t>
      </w:r>
    </w:p>
    <w:tbl>
      <w:tblPr>
        <w:tblStyle w:val="9"/>
        <w:tblW w:w="5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98"/>
        <w:gridCol w:w="389"/>
        <w:gridCol w:w="415"/>
        <w:gridCol w:w="302"/>
        <w:gridCol w:w="6620"/>
        <w:gridCol w:w="731"/>
      </w:tblGrid>
      <w:tr w14:paraId="503F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2" w:type="pct"/>
            <w:gridSpan w:val="2"/>
            <w:tcBorders>
              <w:top w:val="single" w:color="auto" w:sz="4" w:space="0"/>
              <w:left w:val="single" w:color="auto" w:sz="4" w:space="0"/>
              <w:right w:val="single" w:color="auto" w:sz="4" w:space="0"/>
            </w:tcBorders>
            <w:shd w:val="clear" w:color="auto" w:fill="EEECE1"/>
            <w:vAlign w:val="center"/>
          </w:tcPr>
          <w:p w14:paraId="11F50CC9">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项目</w:t>
            </w:r>
          </w:p>
        </w:tc>
        <w:tc>
          <w:tcPr>
            <w:tcW w:w="397" w:type="pct"/>
            <w:gridSpan w:val="2"/>
            <w:tcBorders>
              <w:top w:val="single" w:color="auto" w:sz="4" w:space="0"/>
              <w:left w:val="single" w:color="auto" w:sz="4" w:space="0"/>
              <w:right w:val="single" w:color="auto" w:sz="4" w:space="0"/>
            </w:tcBorders>
            <w:shd w:val="clear" w:color="auto" w:fill="EEECE1"/>
            <w:vAlign w:val="center"/>
          </w:tcPr>
          <w:p w14:paraId="39E1B9E5">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分值</w:t>
            </w:r>
          </w:p>
        </w:tc>
        <w:tc>
          <w:tcPr>
            <w:tcW w:w="3420" w:type="pct"/>
            <w:gridSpan w:val="2"/>
            <w:tcBorders>
              <w:top w:val="single" w:color="auto" w:sz="4" w:space="0"/>
              <w:left w:val="single" w:color="auto" w:sz="4" w:space="0"/>
              <w:right w:val="single" w:color="auto" w:sz="4" w:space="0"/>
            </w:tcBorders>
            <w:shd w:val="clear" w:color="auto" w:fill="EEECE1"/>
            <w:vAlign w:val="center"/>
          </w:tcPr>
          <w:p w14:paraId="50381392">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评分标准</w:t>
            </w:r>
          </w:p>
        </w:tc>
        <w:tc>
          <w:tcPr>
            <w:tcW w:w="361" w:type="pct"/>
            <w:shd w:val="clear" w:color="auto" w:fill="auto"/>
          </w:tcPr>
          <w:p w14:paraId="5EFD5A36">
            <w:pPr>
              <w:adjustRightInd w:val="0"/>
              <w:snapToGrid w:val="0"/>
              <w:spacing w:line="320" w:lineRule="exact"/>
              <w:jc w:val="center"/>
              <w:rPr>
                <w:rFonts w:ascii="宋体" w:hAnsi="宋体" w:cs="宋体"/>
                <w:b/>
                <w:szCs w:val="21"/>
                <w:lang w:val="zh-CN"/>
              </w:rPr>
            </w:pPr>
            <w:r>
              <w:rPr>
                <w:rFonts w:ascii="宋体" w:hAnsi="宋体" w:cs="宋体"/>
                <w:b/>
                <w:szCs w:val="21"/>
                <w:lang w:val="zh-CN"/>
              </w:rPr>
              <w:t>评分</w:t>
            </w:r>
          </w:p>
        </w:tc>
      </w:tr>
      <w:tr w14:paraId="190B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4157A9C6">
            <w:pPr>
              <w:adjustRightInd w:val="0"/>
              <w:snapToGrid w:val="0"/>
              <w:spacing w:line="320" w:lineRule="exact"/>
              <w:jc w:val="center"/>
              <w:rPr>
                <w:rFonts w:hint="eastAsia" w:ascii="宋体" w:hAnsi="宋体" w:cs="宋体"/>
                <w:b/>
                <w:szCs w:val="21"/>
                <w:lang w:val="zh-CN"/>
              </w:rPr>
            </w:pPr>
            <w:r>
              <w:rPr>
                <w:rFonts w:hint="eastAsia" w:ascii="宋体" w:hAnsi="宋体" w:cs="宋体"/>
                <w:b/>
                <w:szCs w:val="21"/>
                <w:lang w:val="zh-CN"/>
              </w:rPr>
              <w:t>价格30分</w:t>
            </w:r>
          </w:p>
        </w:tc>
        <w:tc>
          <w:tcPr>
            <w:tcW w:w="444" w:type="pct"/>
            <w:tcBorders>
              <w:top w:val="single" w:color="auto" w:sz="4" w:space="0"/>
              <w:left w:val="single" w:color="auto" w:sz="4" w:space="0"/>
              <w:bottom w:val="single" w:color="auto" w:sz="4" w:space="0"/>
              <w:right w:val="single" w:color="auto" w:sz="4" w:space="0"/>
            </w:tcBorders>
            <w:vAlign w:val="center"/>
          </w:tcPr>
          <w:p w14:paraId="53C38E14">
            <w:pPr>
              <w:adjustRightInd w:val="0"/>
              <w:snapToGrid w:val="0"/>
              <w:spacing w:line="320" w:lineRule="exact"/>
              <w:jc w:val="center"/>
              <w:rPr>
                <w:rFonts w:hint="eastAsia" w:ascii="宋体" w:hAnsi="宋体" w:cs="宋体"/>
                <w:szCs w:val="21"/>
                <w:lang w:val="zh-CN"/>
              </w:rPr>
            </w:pPr>
            <w:r>
              <w:rPr>
                <w:rFonts w:hint="eastAsia" w:ascii="宋体" w:hAnsi="宋体" w:cs="宋体"/>
                <w:szCs w:val="21"/>
                <w:lang w:val="zh-CN"/>
              </w:rPr>
              <w:t>投标报价</w:t>
            </w:r>
          </w:p>
        </w:tc>
        <w:tc>
          <w:tcPr>
            <w:tcW w:w="397" w:type="pct"/>
            <w:gridSpan w:val="2"/>
            <w:tcBorders>
              <w:top w:val="single" w:color="auto" w:sz="4" w:space="0"/>
              <w:left w:val="single" w:color="auto" w:sz="4" w:space="0"/>
              <w:bottom w:val="single" w:color="auto" w:sz="4" w:space="0"/>
              <w:right w:val="single" w:color="auto" w:sz="4" w:space="0"/>
            </w:tcBorders>
            <w:vAlign w:val="center"/>
          </w:tcPr>
          <w:p w14:paraId="31EEF368">
            <w:pPr>
              <w:adjustRightInd w:val="0"/>
              <w:snapToGrid w:val="0"/>
              <w:spacing w:line="320" w:lineRule="exact"/>
              <w:jc w:val="center"/>
              <w:rPr>
                <w:rFonts w:hint="eastAsia" w:ascii="宋体" w:hAnsi="宋体" w:cs="宋体"/>
                <w:szCs w:val="21"/>
                <w:lang w:val="zh-CN"/>
              </w:rPr>
            </w:pPr>
            <w:r>
              <w:rPr>
                <w:rFonts w:hint="eastAsia" w:ascii="宋体" w:hAnsi="宋体" w:cs="宋体"/>
                <w:szCs w:val="21"/>
                <w:lang w:val="zh-CN"/>
              </w:rPr>
              <w:t>30</w:t>
            </w:r>
          </w:p>
        </w:tc>
        <w:tc>
          <w:tcPr>
            <w:tcW w:w="3420" w:type="pct"/>
            <w:gridSpan w:val="2"/>
            <w:tcBorders>
              <w:left w:val="single" w:color="auto" w:sz="4" w:space="0"/>
              <w:bottom w:val="single" w:color="auto" w:sz="4" w:space="0"/>
              <w:right w:val="single" w:color="auto" w:sz="4" w:space="0"/>
            </w:tcBorders>
            <w:vAlign w:val="center"/>
          </w:tcPr>
          <w:p w14:paraId="50D65838">
            <w:pPr>
              <w:adjustRightInd w:val="0"/>
              <w:snapToGrid w:val="0"/>
              <w:spacing w:line="320" w:lineRule="exact"/>
              <w:rPr>
                <w:rFonts w:ascii="宋体" w:hAnsi="宋体" w:cs="宋体"/>
                <w:szCs w:val="21"/>
                <w:lang w:val="zh-CN"/>
              </w:rPr>
            </w:pPr>
            <w:r>
              <w:rPr>
                <w:rFonts w:hint="eastAsia" w:ascii="宋体" w:hAnsi="宋体" w:cs="宋体"/>
                <w:szCs w:val="21"/>
                <w:lang w:val="zh-CN"/>
              </w:rPr>
              <w:t>该项统一采用低价优先法，即满足招标文件要求且投标价格最低的投标；报价为评标基准价，其价格满分为30分。其他投标供应商的价格分统一按照下列公式计算：投标报价得分＝（评标基准价/投标报价）×30％×100；</w:t>
            </w:r>
          </w:p>
        </w:tc>
        <w:tc>
          <w:tcPr>
            <w:tcW w:w="361" w:type="pct"/>
            <w:shd w:val="clear" w:color="auto" w:fill="auto"/>
            <w:vAlign w:val="center"/>
          </w:tcPr>
          <w:p w14:paraId="03F52A00">
            <w:pPr>
              <w:widowControl/>
              <w:jc w:val="center"/>
              <w:rPr>
                <w:rFonts w:ascii="宋体" w:hAnsi="宋体"/>
                <w:szCs w:val="21"/>
              </w:rPr>
            </w:pPr>
          </w:p>
        </w:tc>
      </w:tr>
      <w:tr w14:paraId="4B75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378" w:type="pct"/>
            <w:vMerge w:val="restart"/>
            <w:tcBorders>
              <w:top w:val="single" w:color="auto" w:sz="4" w:space="0"/>
              <w:left w:val="single" w:color="auto" w:sz="4" w:space="0"/>
              <w:right w:val="single" w:color="auto" w:sz="4" w:space="0"/>
            </w:tcBorders>
            <w:vAlign w:val="center"/>
          </w:tcPr>
          <w:p w14:paraId="237F74E2">
            <w:pPr>
              <w:adjustRightInd w:val="0"/>
              <w:snapToGrid w:val="0"/>
              <w:spacing w:line="320" w:lineRule="exact"/>
              <w:jc w:val="center"/>
              <w:rPr>
                <w:rFonts w:ascii="宋体" w:hAnsi="宋体" w:cs="宋体"/>
                <w:szCs w:val="21"/>
                <w:lang w:val="zh-CN"/>
              </w:rPr>
            </w:pPr>
            <w:r>
              <w:rPr>
                <w:rFonts w:hint="eastAsia" w:ascii="宋体" w:hAnsi="宋体" w:cs="宋体"/>
                <w:b/>
                <w:szCs w:val="21"/>
                <w:lang w:val="zh-CN"/>
              </w:rPr>
              <w:t>技术部分46</w:t>
            </w:r>
          </w:p>
        </w:tc>
        <w:tc>
          <w:tcPr>
            <w:tcW w:w="444" w:type="pct"/>
            <w:tcBorders>
              <w:top w:val="single" w:color="auto" w:sz="4" w:space="0"/>
              <w:left w:val="single" w:color="auto" w:sz="4" w:space="0"/>
              <w:right w:val="single" w:color="auto" w:sz="4" w:space="0"/>
            </w:tcBorders>
            <w:vAlign w:val="center"/>
          </w:tcPr>
          <w:p w14:paraId="6ED84133">
            <w:pPr>
              <w:pStyle w:val="20"/>
              <w:jc w:val="center"/>
              <w:rPr>
                <w:rFonts w:ascii="宋体" w:hAnsi="宋体" w:cs="宋体"/>
                <w:kern w:val="0"/>
                <w:szCs w:val="21"/>
                <w:lang w:val="zh-CN"/>
              </w:rPr>
            </w:pPr>
            <w:r>
              <w:rPr>
                <w:rFonts w:hint="eastAsia" w:ascii="宋体" w:hAnsi="宋体" w:cs="宋体"/>
                <w:kern w:val="0"/>
                <w:szCs w:val="21"/>
                <w:lang w:val="zh-CN"/>
              </w:rPr>
              <w:t>设备的性能</w:t>
            </w:r>
          </w:p>
        </w:tc>
        <w:tc>
          <w:tcPr>
            <w:tcW w:w="397" w:type="pct"/>
            <w:gridSpan w:val="2"/>
            <w:tcBorders>
              <w:top w:val="single" w:color="auto" w:sz="4" w:space="0"/>
              <w:left w:val="single" w:color="auto" w:sz="4" w:space="0"/>
              <w:right w:val="single" w:color="auto" w:sz="4" w:space="0"/>
            </w:tcBorders>
            <w:vAlign w:val="center"/>
          </w:tcPr>
          <w:p w14:paraId="6A6AD507">
            <w:pPr>
              <w:adjustRightInd w:val="0"/>
              <w:snapToGrid w:val="0"/>
              <w:spacing w:line="320" w:lineRule="exact"/>
              <w:jc w:val="center"/>
              <w:rPr>
                <w:rFonts w:ascii="宋体" w:hAnsi="宋体" w:cs="宋体"/>
                <w:szCs w:val="21"/>
              </w:rPr>
            </w:pPr>
            <w:r>
              <w:rPr>
                <w:rFonts w:hint="eastAsia" w:ascii="宋体" w:hAnsi="宋体" w:cs="宋体"/>
                <w:szCs w:val="21"/>
              </w:rPr>
              <w:t>15</w:t>
            </w:r>
          </w:p>
        </w:tc>
        <w:tc>
          <w:tcPr>
            <w:tcW w:w="3420" w:type="pct"/>
            <w:gridSpan w:val="2"/>
            <w:tcBorders>
              <w:top w:val="single" w:color="auto" w:sz="4" w:space="0"/>
              <w:left w:val="single" w:color="auto" w:sz="4" w:space="0"/>
              <w:right w:val="single" w:color="auto" w:sz="4" w:space="0"/>
            </w:tcBorders>
            <w:vAlign w:val="center"/>
          </w:tcPr>
          <w:p w14:paraId="5C32362A">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根据投标产品的基本功能、技术指标与需求的吻合程度和偏差情况（包括所投标产品的规格型号、配置、主要技术参数、及加工质量、工艺等描述），是否能够满足招标文件要求，是否体现一定先进性、可靠性、成熟性、易维护性、可扩展性等进行评分。</w:t>
            </w:r>
          </w:p>
          <w:p w14:paraId="6C2FACDE">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（1）能够满足或优于招标文件要求，针对性强，得 10-15 分；</w:t>
            </w:r>
          </w:p>
          <w:p w14:paraId="46456D17">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（2）基本满足招标文件要求，有一定的针对性的，得 4-9分；</w:t>
            </w:r>
          </w:p>
          <w:p w14:paraId="4377984D">
            <w:pPr>
              <w:adjustRightInd w:val="0"/>
              <w:snapToGrid w:val="0"/>
              <w:spacing w:line="320" w:lineRule="exact"/>
              <w:rPr>
                <w:rFonts w:ascii="宋体" w:hAnsi="宋体" w:cs="宋体"/>
                <w:b/>
                <w:szCs w:val="21"/>
                <w:lang w:val="zh-CN"/>
              </w:rPr>
            </w:pPr>
            <w:r>
              <w:rPr>
                <w:rFonts w:hint="eastAsia" w:ascii="宋体" w:hAnsi="宋体" w:cs="宋体"/>
                <w:szCs w:val="21"/>
                <w:lang w:val="zh-CN"/>
              </w:rPr>
              <w:t>（3）存在欠缺，有负偏离，针对性一般的，得 0-3 分</w:t>
            </w:r>
          </w:p>
        </w:tc>
        <w:tc>
          <w:tcPr>
            <w:tcW w:w="361" w:type="pct"/>
            <w:shd w:val="clear" w:color="auto" w:fill="auto"/>
            <w:vAlign w:val="center"/>
          </w:tcPr>
          <w:p w14:paraId="75F62552">
            <w:pPr>
              <w:widowControl/>
              <w:jc w:val="center"/>
              <w:rPr>
                <w:rFonts w:ascii="宋体" w:hAnsi="宋体"/>
                <w:szCs w:val="21"/>
              </w:rPr>
            </w:pPr>
          </w:p>
        </w:tc>
      </w:tr>
      <w:tr w14:paraId="0C22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78" w:type="pct"/>
            <w:vMerge w:val="continue"/>
            <w:tcBorders>
              <w:top w:val="single" w:color="auto" w:sz="4" w:space="0"/>
              <w:left w:val="single" w:color="auto" w:sz="4" w:space="0"/>
              <w:right w:val="single" w:color="auto" w:sz="4" w:space="0"/>
            </w:tcBorders>
            <w:vAlign w:val="center"/>
          </w:tcPr>
          <w:p w14:paraId="68B55C57">
            <w:pPr>
              <w:adjustRightInd w:val="0"/>
              <w:snapToGrid w:val="0"/>
              <w:spacing w:line="320" w:lineRule="exact"/>
              <w:jc w:val="center"/>
              <w:rPr>
                <w:rFonts w:hint="eastAsia" w:ascii="宋体" w:hAnsi="宋体" w:cs="宋体"/>
                <w:b/>
                <w:szCs w:val="21"/>
                <w:lang w:val="zh-CN"/>
              </w:rPr>
            </w:pPr>
          </w:p>
        </w:tc>
        <w:tc>
          <w:tcPr>
            <w:tcW w:w="444" w:type="pct"/>
            <w:tcBorders>
              <w:top w:val="single" w:color="auto" w:sz="4" w:space="0"/>
              <w:left w:val="single" w:color="auto" w:sz="4" w:space="0"/>
              <w:bottom w:val="single" w:color="auto" w:sz="4" w:space="0"/>
              <w:right w:val="single" w:color="auto" w:sz="4" w:space="0"/>
            </w:tcBorders>
            <w:vAlign w:val="center"/>
          </w:tcPr>
          <w:p w14:paraId="68074D9D">
            <w:pPr>
              <w:pStyle w:val="20"/>
              <w:jc w:val="center"/>
              <w:rPr>
                <w:rFonts w:hint="eastAsia" w:ascii="宋体" w:hAnsi="宋体" w:cs="宋体"/>
                <w:kern w:val="0"/>
                <w:szCs w:val="21"/>
                <w:lang w:val="zh-CN"/>
              </w:rPr>
            </w:pPr>
            <w:r>
              <w:rPr>
                <w:rFonts w:hint="eastAsia" w:ascii="宋体" w:hAnsi="宋体" w:cs="宋体"/>
                <w:kern w:val="0"/>
                <w:szCs w:val="21"/>
                <w:lang w:val="zh-CN"/>
              </w:rPr>
              <w:t>重要参数的响应度</w:t>
            </w:r>
          </w:p>
        </w:tc>
        <w:tc>
          <w:tcPr>
            <w:tcW w:w="397" w:type="pct"/>
            <w:gridSpan w:val="2"/>
            <w:tcBorders>
              <w:top w:val="single" w:color="auto" w:sz="4" w:space="0"/>
              <w:left w:val="single" w:color="auto" w:sz="4" w:space="0"/>
              <w:bottom w:val="single" w:color="auto" w:sz="4" w:space="0"/>
              <w:right w:val="single" w:color="auto" w:sz="4" w:space="0"/>
            </w:tcBorders>
            <w:vAlign w:val="center"/>
          </w:tcPr>
          <w:p w14:paraId="685E0754">
            <w:pPr>
              <w:adjustRightInd w:val="0"/>
              <w:snapToGrid w:val="0"/>
              <w:spacing w:line="320" w:lineRule="exact"/>
              <w:jc w:val="center"/>
              <w:rPr>
                <w:rFonts w:hint="eastAsia" w:ascii="宋体" w:hAnsi="宋体" w:cs="宋体"/>
                <w:szCs w:val="21"/>
              </w:rPr>
            </w:pPr>
            <w:r>
              <w:rPr>
                <w:rFonts w:hint="eastAsia" w:ascii="宋体" w:hAnsi="宋体" w:cs="宋体"/>
                <w:szCs w:val="21"/>
              </w:rPr>
              <w:t>25</w:t>
            </w:r>
          </w:p>
        </w:tc>
        <w:tc>
          <w:tcPr>
            <w:tcW w:w="3420" w:type="pct"/>
            <w:gridSpan w:val="2"/>
            <w:tcBorders>
              <w:top w:val="single" w:color="auto" w:sz="4" w:space="0"/>
              <w:left w:val="single" w:color="auto" w:sz="4" w:space="0"/>
              <w:bottom w:val="single" w:color="auto" w:sz="4" w:space="0"/>
              <w:right w:val="single" w:color="auto" w:sz="4" w:space="0"/>
            </w:tcBorders>
            <w:vAlign w:val="center"/>
          </w:tcPr>
          <w:p w14:paraId="72A51FF4">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▲号条款不满足每条扣 2 分。扣至 0 分为止；</w:t>
            </w:r>
          </w:p>
          <w:p w14:paraId="2FF1AC5D">
            <w:pPr>
              <w:adjustRightInd w:val="0"/>
              <w:snapToGrid w:val="0"/>
              <w:spacing w:line="320" w:lineRule="exact"/>
              <w:rPr>
                <w:rFonts w:hint="eastAsia" w:ascii="宋体" w:hAnsi="宋体" w:cs="宋体"/>
                <w:szCs w:val="21"/>
                <w:lang w:val="zh-CN"/>
              </w:rPr>
            </w:pPr>
            <w:r>
              <w:rPr>
                <w:rFonts w:hint="eastAsia" w:ascii="宋体" w:hAnsi="宋体" w:cs="宋体"/>
                <w:b/>
                <w:szCs w:val="21"/>
                <w:lang w:val="zh-CN"/>
              </w:rPr>
              <w:t>（需提供相关证明材料，不提供不得分）</w:t>
            </w:r>
          </w:p>
        </w:tc>
        <w:tc>
          <w:tcPr>
            <w:tcW w:w="361" w:type="pct"/>
            <w:shd w:val="clear" w:color="auto" w:fill="auto"/>
            <w:vAlign w:val="center"/>
          </w:tcPr>
          <w:p w14:paraId="4A4C325D">
            <w:pPr>
              <w:widowControl/>
              <w:jc w:val="center"/>
              <w:rPr>
                <w:rFonts w:ascii="宋体" w:hAnsi="宋体"/>
                <w:szCs w:val="21"/>
              </w:rPr>
            </w:pPr>
          </w:p>
        </w:tc>
      </w:tr>
      <w:tr w14:paraId="7A60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378" w:type="pct"/>
            <w:vMerge w:val="continue"/>
            <w:tcBorders>
              <w:top w:val="single" w:color="auto" w:sz="4" w:space="0"/>
              <w:left w:val="single" w:color="auto" w:sz="4" w:space="0"/>
              <w:right w:val="single" w:color="auto" w:sz="4" w:space="0"/>
            </w:tcBorders>
            <w:vAlign w:val="center"/>
          </w:tcPr>
          <w:p w14:paraId="4A5AEC7E">
            <w:pPr>
              <w:adjustRightInd w:val="0"/>
              <w:snapToGrid w:val="0"/>
              <w:spacing w:line="320" w:lineRule="exact"/>
              <w:jc w:val="center"/>
              <w:rPr>
                <w:rFonts w:hint="eastAsia" w:ascii="宋体" w:hAnsi="宋体" w:cs="宋体"/>
                <w:b/>
                <w:szCs w:val="21"/>
                <w:lang w:val="zh-CN"/>
              </w:rPr>
            </w:pPr>
          </w:p>
        </w:tc>
        <w:tc>
          <w:tcPr>
            <w:tcW w:w="444" w:type="pct"/>
            <w:tcBorders>
              <w:top w:val="single" w:color="auto" w:sz="4" w:space="0"/>
              <w:left w:val="single" w:color="auto" w:sz="4" w:space="0"/>
              <w:right w:val="single" w:color="auto" w:sz="4" w:space="0"/>
            </w:tcBorders>
            <w:vAlign w:val="center"/>
          </w:tcPr>
          <w:p w14:paraId="05198941">
            <w:pPr>
              <w:pStyle w:val="20"/>
              <w:rPr>
                <w:rFonts w:hint="eastAsia" w:ascii="宋体" w:hAnsi="宋体" w:cs="宋体"/>
                <w:kern w:val="0"/>
                <w:szCs w:val="21"/>
                <w:lang w:val="zh-CN"/>
              </w:rPr>
            </w:pPr>
            <w:r>
              <w:rPr>
                <w:rFonts w:hint="eastAsia" w:ascii="宋体" w:hAnsi="宋体" w:cs="宋体"/>
                <w:kern w:val="0"/>
                <w:szCs w:val="21"/>
                <w:lang w:val="zh-CN"/>
              </w:rPr>
              <w:t>安装、调试方案</w:t>
            </w:r>
          </w:p>
        </w:tc>
        <w:tc>
          <w:tcPr>
            <w:tcW w:w="397" w:type="pct"/>
            <w:gridSpan w:val="2"/>
            <w:tcBorders>
              <w:top w:val="single" w:color="auto" w:sz="4" w:space="0"/>
              <w:left w:val="single" w:color="auto" w:sz="4" w:space="0"/>
              <w:right w:val="single" w:color="auto" w:sz="4" w:space="0"/>
            </w:tcBorders>
            <w:vAlign w:val="center"/>
          </w:tcPr>
          <w:p w14:paraId="5CF66A7C">
            <w:pPr>
              <w:adjustRightInd w:val="0"/>
              <w:snapToGrid w:val="0"/>
              <w:spacing w:line="320" w:lineRule="exact"/>
              <w:jc w:val="center"/>
              <w:rPr>
                <w:rFonts w:hint="eastAsia" w:ascii="宋体" w:hAnsi="宋体" w:cs="宋体"/>
                <w:szCs w:val="21"/>
              </w:rPr>
            </w:pPr>
            <w:r>
              <w:rPr>
                <w:rFonts w:hint="eastAsia" w:ascii="宋体" w:hAnsi="宋体" w:cs="宋体"/>
                <w:szCs w:val="21"/>
              </w:rPr>
              <w:t>6</w:t>
            </w:r>
          </w:p>
        </w:tc>
        <w:tc>
          <w:tcPr>
            <w:tcW w:w="3420" w:type="pct"/>
            <w:gridSpan w:val="2"/>
            <w:tcBorders>
              <w:top w:val="single" w:color="auto" w:sz="4" w:space="0"/>
              <w:left w:val="single" w:color="auto" w:sz="4" w:space="0"/>
              <w:right w:val="single" w:color="auto" w:sz="4" w:space="0"/>
            </w:tcBorders>
            <w:vAlign w:val="center"/>
          </w:tcPr>
          <w:p w14:paraId="008B98C1">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根据各投标人提供的安装、调试方案(包括安装、调试计划；安全安装、调试措施；调试现场清理）进行综合评价：</w:t>
            </w:r>
          </w:p>
          <w:p w14:paraId="6BBC9134">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（1）安装方案内容全面、具体，切实可行，计划完整、方案针对性强，能切实保障安装及调试需求，得 5-6 分；</w:t>
            </w:r>
          </w:p>
          <w:p w14:paraId="75199E9C">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（2）安装方案内容较全面，较可行，方案能基本保障安装及调试需求，得 3-4 分；</w:t>
            </w:r>
          </w:p>
          <w:p w14:paraId="5C48EA08">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（3）安装方案内容简单，不确定是否能保障安装及调试需求，得 0-2 分。</w:t>
            </w:r>
          </w:p>
        </w:tc>
        <w:tc>
          <w:tcPr>
            <w:tcW w:w="361" w:type="pct"/>
            <w:shd w:val="clear" w:color="auto" w:fill="auto"/>
            <w:vAlign w:val="center"/>
          </w:tcPr>
          <w:p w14:paraId="03FD8E19">
            <w:pPr>
              <w:widowControl/>
              <w:jc w:val="center"/>
              <w:rPr>
                <w:rFonts w:ascii="宋体" w:hAnsi="宋体"/>
                <w:szCs w:val="21"/>
              </w:rPr>
            </w:pPr>
          </w:p>
        </w:tc>
      </w:tr>
      <w:tr w14:paraId="230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78" w:type="pct"/>
            <w:vMerge w:val="restart"/>
            <w:tcBorders>
              <w:left w:val="single" w:color="auto" w:sz="4" w:space="0"/>
              <w:right w:val="single" w:color="auto" w:sz="4" w:space="0"/>
            </w:tcBorders>
            <w:vAlign w:val="center"/>
          </w:tcPr>
          <w:p w14:paraId="30E1C3A2">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售后部分19分</w:t>
            </w:r>
          </w:p>
        </w:tc>
        <w:tc>
          <w:tcPr>
            <w:tcW w:w="444" w:type="pct"/>
            <w:tcBorders>
              <w:top w:val="single" w:color="auto" w:sz="4" w:space="0"/>
              <w:left w:val="single" w:color="auto" w:sz="4" w:space="0"/>
              <w:right w:val="single" w:color="auto" w:sz="4" w:space="0"/>
            </w:tcBorders>
            <w:vAlign w:val="center"/>
          </w:tcPr>
          <w:p w14:paraId="7F48E079">
            <w:pPr>
              <w:adjustRightInd w:val="0"/>
              <w:snapToGrid w:val="0"/>
              <w:spacing w:line="320" w:lineRule="exact"/>
              <w:jc w:val="center"/>
              <w:rPr>
                <w:rFonts w:ascii="宋体" w:hAnsi="宋体" w:cs="宋体"/>
                <w:szCs w:val="21"/>
              </w:rPr>
            </w:pPr>
            <w:r>
              <w:rPr>
                <w:rFonts w:hint="eastAsia" w:ascii="宋体" w:hAnsi="宋体" w:cs="宋体"/>
                <w:szCs w:val="21"/>
              </w:rPr>
              <w:t>维修质保</w:t>
            </w:r>
          </w:p>
        </w:tc>
        <w:tc>
          <w:tcPr>
            <w:tcW w:w="397" w:type="pct"/>
            <w:gridSpan w:val="2"/>
            <w:tcBorders>
              <w:top w:val="single" w:color="auto" w:sz="4" w:space="0"/>
              <w:left w:val="single" w:color="auto" w:sz="4" w:space="0"/>
              <w:right w:val="single" w:color="auto" w:sz="4" w:space="0"/>
            </w:tcBorders>
            <w:vAlign w:val="center"/>
          </w:tcPr>
          <w:p w14:paraId="3DC20D8C">
            <w:pPr>
              <w:adjustRightInd w:val="0"/>
              <w:snapToGrid w:val="0"/>
              <w:spacing w:line="320" w:lineRule="exact"/>
              <w:jc w:val="center"/>
              <w:rPr>
                <w:rFonts w:ascii="宋体" w:hAnsi="宋体" w:cs="宋体"/>
                <w:szCs w:val="21"/>
              </w:rPr>
            </w:pPr>
            <w:r>
              <w:rPr>
                <w:rFonts w:hint="eastAsia" w:ascii="宋体" w:hAnsi="宋体" w:cs="宋体"/>
                <w:szCs w:val="21"/>
              </w:rPr>
              <w:t>10</w:t>
            </w:r>
          </w:p>
        </w:tc>
        <w:tc>
          <w:tcPr>
            <w:tcW w:w="3420" w:type="pct"/>
            <w:gridSpan w:val="2"/>
            <w:tcBorders>
              <w:top w:val="single" w:color="auto" w:sz="4" w:space="0"/>
              <w:left w:val="single" w:color="auto" w:sz="4" w:space="0"/>
              <w:right w:val="single" w:color="auto" w:sz="4" w:space="0"/>
            </w:tcBorders>
            <w:vAlign w:val="center"/>
          </w:tcPr>
          <w:p w14:paraId="46243E95">
            <w:pPr>
              <w:widowControl/>
              <w:adjustRightInd w:val="0"/>
              <w:snapToGrid w:val="0"/>
              <w:spacing w:before="156" w:beforeLines="50" w:after="156" w:afterLines="50" w:line="276" w:lineRule="auto"/>
              <w:rPr>
                <w:rFonts w:hint="eastAsia" w:ascii="宋体" w:hAnsi="宋体" w:cs="宋体"/>
                <w:szCs w:val="21"/>
                <w:lang w:val="zh-CN"/>
              </w:rPr>
            </w:pPr>
            <w:r>
              <w:rPr>
                <w:rFonts w:hint="eastAsia" w:ascii="宋体" w:hAnsi="宋体" w:cs="宋体"/>
                <w:szCs w:val="21"/>
                <w:lang w:val="zh-CN"/>
              </w:rPr>
              <w:t>（1）质保期限</w:t>
            </w:r>
            <w:r>
              <w:rPr>
                <w:rFonts w:hint="eastAsia" w:ascii="宋体" w:hAnsi="宋体" w:cs="宋体"/>
                <w:szCs w:val="21"/>
                <w:lang w:val="en-US" w:eastAsia="zh-CN"/>
              </w:rPr>
              <w:t>3年起，2分。</w:t>
            </w:r>
            <w:bookmarkStart w:id="0" w:name="_GoBack"/>
            <w:bookmarkEnd w:id="0"/>
            <w:r>
              <w:rPr>
                <w:rFonts w:hint="eastAsia" w:ascii="宋体" w:hAnsi="宋体" w:cs="宋体"/>
                <w:szCs w:val="21"/>
                <w:lang w:val="zh-CN"/>
              </w:rPr>
              <w:t>（最高6分，按每年2分档递</w:t>
            </w:r>
            <w:r>
              <w:rPr>
                <w:rFonts w:hint="eastAsia" w:ascii="宋体" w:hAnsi="宋体" w:cs="宋体"/>
                <w:szCs w:val="21"/>
                <w:lang w:val="en-US" w:eastAsia="zh-CN"/>
              </w:rPr>
              <w:t>增</w:t>
            </w:r>
            <w:r>
              <w:rPr>
                <w:rFonts w:hint="eastAsia" w:ascii="宋体" w:hAnsi="宋体" w:cs="宋体"/>
                <w:szCs w:val="21"/>
                <w:lang w:val="zh-CN"/>
              </w:rPr>
              <w:t>）</w:t>
            </w:r>
            <w:r>
              <w:rPr>
                <w:rFonts w:ascii="宋体" w:hAnsi="宋体" w:cs="宋体"/>
                <w:szCs w:val="21"/>
                <w:lang w:val="zh-CN"/>
              </w:rPr>
              <w:t xml:space="preserve"> </w:t>
            </w:r>
          </w:p>
          <w:p w14:paraId="63FC3605">
            <w:pPr>
              <w:widowControl/>
              <w:adjustRightInd w:val="0"/>
              <w:snapToGrid w:val="0"/>
              <w:spacing w:before="156" w:beforeLines="50" w:after="156" w:afterLines="50" w:line="276" w:lineRule="auto"/>
              <w:rPr>
                <w:rFonts w:ascii="宋体" w:hAnsi="宋体" w:cs="宋体"/>
                <w:szCs w:val="21"/>
                <w:lang w:val="zh-CN"/>
              </w:rPr>
            </w:pPr>
            <w:r>
              <w:rPr>
                <w:rFonts w:hint="eastAsia" w:ascii="宋体" w:hAnsi="宋体" w:cs="宋体"/>
                <w:kern w:val="0"/>
                <w:szCs w:val="21"/>
                <w:lang w:val="zh-CN"/>
              </w:rPr>
              <w:t>（2）质保期内，维修响应速度承诺，2分。按1分档从高到低排序。</w:t>
            </w:r>
          </w:p>
          <w:p w14:paraId="535E2151">
            <w:pPr>
              <w:pStyle w:val="2"/>
              <w:rPr>
                <w:rFonts w:ascii="宋体" w:hAnsi="宋体" w:eastAsia="宋体"/>
                <w:sz w:val="21"/>
                <w:szCs w:val="21"/>
                <w:lang w:val="zh-CN"/>
              </w:rPr>
            </w:pPr>
            <w:r>
              <w:rPr>
                <w:rFonts w:hint="eastAsia" w:ascii="宋体" w:hAnsi="宋体" w:eastAsia="宋体" w:cs="宋体"/>
                <w:kern w:val="0"/>
                <w:sz w:val="21"/>
                <w:szCs w:val="21"/>
                <w:lang w:val="zh-CN"/>
              </w:rPr>
              <w:t>（3）质保期后，维修响应速度承诺，2分。按1分档从高到低排序。</w:t>
            </w:r>
          </w:p>
        </w:tc>
        <w:tc>
          <w:tcPr>
            <w:tcW w:w="361" w:type="pct"/>
            <w:shd w:val="clear" w:color="auto" w:fill="auto"/>
            <w:vAlign w:val="center"/>
          </w:tcPr>
          <w:p w14:paraId="77181557">
            <w:pPr>
              <w:widowControl/>
              <w:jc w:val="center"/>
              <w:rPr>
                <w:rFonts w:ascii="宋体" w:hAnsi="宋体"/>
                <w:szCs w:val="21"/>
              </w:rPr>
            </w:pPr>
          </w:p>
        </w:tc>
      </w:tr>
      <w:tr w14:paraId="265B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78" w:type="pct"/>
            <w:vMerge w:val="continue"/>
            <w:tcBorders>
              <w:left w:val="single" w:color="auto" w:sz="4" w:space="0"/>
              <w:right w:val="single" w:color="auto" w:sz="4" w:space="0"/>
            </w:tcBorders>
            <w:vAlign w:val="center"/>
          </w:tcPr>
          <w:p w14:paraId="1FA3D090">
            <w:pPr>
              <w:adjustRightInd w:val="0"/>
              <w:snapToGrid w:val="0"/>
              <w:spacing w:line="320" w:lineRule="exact"/>
              <w:jc w:val="center"/>
              <w:rPr>
                <w:rFonts w:hint="eastAsia" w:ascii="宋体" w:hAnsi="宋体" w:cs="宋体"/>
                <w:b/>
                <w:szCs w:val="21"/>
                <w:lang w:val="zh-CN"/>
              </w:rPr>
            </w:pPr>
          </w:p>
        </w:tc>
        <w:tc>
          <w:tcPr>
            <w:tcW w:w="444" w:type="pct"/>
            <w:tcBorders>
              <w:top w:val="single" w:color="auto" w:sz="4" w:space="0"/>
              <w:left w:val="single" w:color="auto" w:sz="4" w:space="0"/>
              <w:right w:val="single" w:color="auto" w:sz="4" w:space="0"/>
            </w:tcBorders>
            <w:vAlign w:val="center"/>
          </w:tcPr>
          <w:p w14:paraId="57A24D60">
            <w:pPr>
              <w:adjustRightInd w:val="0"/>
              <w:snapToGrid w:val="0"/>
              <w:spacing w:line="320" w:lineRule="exact"/>
              <w:jc w:val="center"/>
              <w:rPr>
                <w:rFonts w:hint="eastAsia" w:ascii="宋体" w:hAnsi="宋体" w:cs="宋体"/>
                <w:szCs w:val="21"/>
              </w:rPr>
            </w:pPr>
            <w:r>
              <w:rPr>
                <w:rFonts w:hint="eastAsia" w:ascii="宋体" w:hAnsi="宋体" w:cs="宋体"/>
                <w:szCs w:val="21"/>
              </w:rPr>
              <w:t>故障应急处理方案</w:t>
            </w:r>
          </w:p>
        </w:tc>
        <w:tc>
          <w:tcPr>
            <w:tcW w:w="397" w:type="pct"/>
            <w:gridSpan w:val="2"/>
            <w:tcBorders>
              <w:top w:val="single" w:color="auto" w:sz="4" w:space="0"/>
              <w:left w:val="single" w:color="auto" w:sz="4" w:space="0"/>
              <w:right w:val="single" w:color="auto" w:sz="4" w:space="0"/>
            </w:tcBorders>
            <w:vAlign w:val="center"/>
          </w:tcPr>
          <w:p w14:paraId="00BEF891">
            <w:pPr>
              <w:adjustRightInd w:val="0"/>
              <w:snapToGrid w:val="0"/>
              <w:spacing w:line="320" w:lineRule="exact"/>
              <w:jc w:val="center"/>
              <w:rPr>
                <w:rFonts w:hint="eastAsia" w:ascii="宋体" w:hAnsi="宋体" w:cs="宋体"/>
                <w:szCs w:val="21"/>
              </w:rPr>
            </w:pPr>
            <w:r>
              <w:rPr>
                <w:rFonts w:hint="eastAsia" w:ascii="宋体" w:hAnsi="宋体" w:cs="宋体"/>
                <w:szCs w:val="21"/>
              </w:rPr>
              <w:t>9</w:t>
            </w:r>
          </w:p>
        </w:tc>
        <w:tc>
          <w:tcPr>
            <w:tcW w:w="3420" w:type="pct"/>
            <w:gridSpan w:val="2"/>
            <w:tcBorders>
              <w:top w:val="single" w:color="auto" w:sz="4" w:space="0"/>
              <w:left w:val="single" w:color="auto" w:sz="4" w:space="0"/>
              <w:right w:val="single" w:color="auto" w:sz="4" w:space="0"/>
            </w:tcBorders>
            <w:vAlign w:val="center"/>
          </w:tcPr>
          <w:p w14:paraId="4394C559">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根据投标人提供的故障应急处理方案及应急响应方案（包 括详细的应急响应过程、方式及响应时间、故障修复时间等）进行综合评价：</w:t>
            </w:r>
          </w:p>
          <w:p w14:paraId="10216295">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（1）故障应急处理方案详细、有针对典型安全事件或风险是否有设计完善的应急预案以及应急演练剧本、响应时间明确并及时的，得8</w:t>
            </w:r>
            <w:r>
              <w:rPr>
                <w:rFonts w:ascii="宋体" w:hAnsi="宋体" w:cs="宋体"/>
                <w:szCs w:val="21"/>
                <w:lang w:val="zh-CN"/>
              </w:rPr>
              <w:t>-</w:t>
            </w:r>
            <w:r>
              <w:rPr>
                <w:rFonts w:hint="eastAsia" w:ascii="宋体" w:hAnsi="宋体" w:cs="宋体"/>
                <w:szCs w:val="21"/>
                <w:lang w:val="zh-CN"/>
              </w:rPr>
              <w:t>9</w:t>
            </w:r>
            <w:r>
              <w:rPr>
                <w:rFonts w:ascii="宋体" w:hAnsi="宋体" w:cs="宋体"/>
                <w:szCs w:val="21"/>
                <w:lang w:val="zh-CN"/>
              </w:rPr>
              <w:t xml:space="preserve"> </w:t>
            </w:r>
            <w:r>
              <w:rPr>
                <w:rFonts w:hint="eastAsia" w:ascii="宋体" w:hAnsi="宋体" w:cs="宋体"/>
                <w:szCs w:val="21"/>
                <w:lang w:val="zh-CN"/>
              </w:rPr>
              <w:t xml:space="preserve">分； </w:t>
            </w:r>
          </w:p>
          <w:p w14:paraId="13C64167">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（1）故障应急处理方案没有针对性、对典型安全事件或风险没 有具体的方案，应急预案以及应急演练剧本不详细、响应 时间不明确的得：得 6</w:t>
            </w:r>
            <w:r>
              <w:rPr>
                <w:rFonts w:ascii="宋体" w:hAnsi="宋体" w:cs="宋体"/>
                <w:szCs w:val="21"/>
                <w:lang w:val="zh-CN"/>
              </w:rPr>
              <w:t>-</w:t>
            </w:r>
            <w:r>
              <w:rPr>
                <w:rFonts w:hint="eastAsia" w:ascii="宋体" w:hAnsi="宋体" w:cs="宋体"/>
                <w:szCs w:val="21"/>
                <w:lang w:val="zh-CN"/>
              </w:rPr>
              <w:t>8</w:t>
            </w:r>
            <w:r>
              <w:rPr>
                <w:rFonts w:ascii="宋体" w:hAnsi="宋体" w:cs="宋体"/>
                <w:szCs w:val="21"/>
                <w:lang w:val="zh-CN"/>
              </w:rPr>
              <w:t xml:space="preserve"> </w:t>
            </w:r>
            <w:r>
              <w:rPr>
                <w:rFonts w:hint="eastAsia" w:ascii="宋体" w:hAnsi="宋体" w:cs="宋体"/>
                <w:szCs w:val="21"/>
                <w:lang w:val="zh-CN"/>
              </w:rPr>
              <w:t>分；</w:t>
            </w:r>
          </w:p>
          <w:p w14:paraId="44A9BDB5">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 xml:space="preserve">（1）故障应急处理方案简单、对典型安全事件或风险的方案无针对性，应急预案以及应急演练剧本有缺漏、未写明响应 时间得：得 </w:t>
            </w:r>
            <w:r>
              <w:rPr>
                <w:rFonts w:ascii="宋体" w:hAnsi="宋体" w:cs="宋体"/>
                <w:szCs w:val="21"/>
                <w:lang w:val="zh-CN"/>
              </w:rPr>
              <w:t>0-</w:t>
            </w:r>
            <w:r>
              <w:rPr>
                <w:rFonts w:hint="eastAsia" w:ascii="宋体" w:hAnsi="宋体" w:cs="宋体"/>
                <w:szCs w:val="21"/>
                <w:lang w:val="zh-CN"/>
              </w:rPr>
              <w:t>6</w:t>
            </w:r>
            <w:r>
              <w:rPr>
                <w:rFonts w:ascii="宋体" w:hAnsi="宋体" w:cs="宋体"/>
                <w:szCs w:val="21"/>
                <w:lang w:val="zh-CN"/>
              </w:rPr>
              <w:t xml:space="preserve"> </w:t>
            </w:r>
            <w:r>
              <w:rPr>
                <w:rFonts w:hint="eastAsia" w:ascii="宋体" w:hAnsi="宋体" w:cs="宋体"/>
                <w:szCs w:val="21"/>
                <w:lang w:val="zh-CN"/>
              </w:rPr>
              <w:t>分。</w:t>
            </w:r>
          </w:p>
        </w:tc>
        <w:tc>
          <w:tcPr>
            <w:tcW w:w="361" w:type="pct"/>
            <w:shd w:val="clear" w:color="auto" w:fill="auto"/>
            <w:vAlign w:val="center"/>
          </w:tcPr>
          <w:p w14:paraId="192877A2">
            <w:pPr>
              <w:widowControl/>
              <w:jc w:val="center"/>
              <w:rPr>
                <w:rFonts w:ascii="宋体" w:hAnsi="宋体"/>
                <w:szCs w:val="21"/>
              </w:rPr>
            </w:pPr>
          </w:p>
        </w:tc>
      </w:tr>
      <w:tr w14:paraId="2317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78" w:type="pct"/>
            <w:tcBorders>
              <w:left w:val="single" w:color="auto" w:sz="4" w:space="0"/>
              <w:right w:val="single" w:color="auto" w:sz="4" w:space="0"/>
            </w:tcBorders>
            <w:vAlign w:val="center"/>
          </w:tcPr>
          <w:p w14:paraId="225AE15F">
            <w:pPr>
              <w:adjustRightInd w:val="0"/>
              <w:snapToGrid w:val="0"/>
              <w:spacing w:line="320" w:lineRule="exact"/>
              <w:jc w:val="center"/>
              <w:rPr>
                <w:rFonts w:hint="eastAsia" w:ascii="宋体" w:hAnsi="宋体" w:cs="宋体"/>
                <w:b/>
                <w:szCs w:val="21"/>
                <w:lang w:val="zh-CN"/>
              </w:rPr>
            </w:pPr>
            <w:r>
              <w:rPr>
                <w:rFonts w:hint="eastAsia" w:ascii="宋体" w:hAnsi="宋体" w:cs="宋体"/>
                <w:b/>
                <w:szCs w:val="21"/>
                <w:lang w:val="zh-CN"/>
              </w:rPr>
              <w:t>业绩</w:t>
            </w:r>
          </w:p>
          <w:p w14:paraId="0213F2D8">
            <w:pPr>
              <w:pStyle w:val="2"/>
              <w:rPr>
                <w:rFonts w:hint="eastAsia" w:ascii="宋体" w:hAnsi="宋体" w:eastAsia="宋体"/>
                <w:sz w:val="21"/>
                <w:szCs w:val="21"/>
                <w:lang w:val="zh-CN"/>
              </w:rPr>
            </w:pPr>
            <w:r>
              <w:rPr>
                <w:rFonts w:hint="eastAsia" w:ascii="宋体" w:hAnsi="宋体" w:eastAsia="宋体" w:cs="宋体"/>
                <w:b/>
                <w:sz w:val="21"/>
                <w:szCs w:val="21"/>
              </w:rPr>
              <w:t>5分</w:t>
            </w:r>
          </w:p>
        </w:tc>
        <w:tc>
          <w:tcPr>
            <w:tcW w:w="444" w:type="pct"/>
            <w:tcBorders>
              <w:top w:val="single" w:color="auto" w:sz="4" w:space="0"/>
              <w:left w:val="single" w:color="auto" w:sz="4" w:space="0"/>
              <w:right w:val="single" w:color="auto" w:sz="4" w:space="0"/>
            </w:tcBorders>
            <w:vAlign w:val="center"/>
          </w:tcPr>
          <w:p w14:paraId="09C45179">
            <w:pPr>
              <w:adjustRightInd w:val="0"/>
              <w:snapToGrid w:val="0"/>
              <w:spacing w:line="320" w:lineRule="exact"/>
              <w:jc w:val="center"/>
              <w:rPr>
                <w:rFonts w:hint="eastAsia" w:ascii="宋体" w:hAnsi="宋体" w:cs="宋体"/>
                <w:szCs w:val="21"/>
              </w:rPr>
            </w:pPr>
            <w:r>
              <w:rPr>
                <w:rFonts w:hint="eastAsia" w:ascii="宋体" w:hAnsi="宋体" w:cs="宋体"/>
                <w:b/>
                <w:szCs w:val="21"/>
                <w:lang w:val="zh-CN"/>
              </w:rPr>
              <w:t>类似项目业绩</w:t>
            </w:r>
          </w:p>
        </w:tc>
        <w:tc>
          <w:tcPr>
            <w:tcW w:w="397" w:type="pct"/>
            <w:gridSpan w:val="2"/>
            <w:tcBorders>
              <w:top w:val="single" w:color="auto" w:sz="4" w:space="0"/>
              <w:left w:val="single" w:color="auto" w:sz="4" w:space="0"/>
              <w:right w:val="single" w:color="auto" w:sz="4" w:space="0"/>
            </w:tcBorders>
            <w:vAlign w:val="center"/>
          </w:tcPr>
          <w:p w14:paraId="63FE6E69">
            <w:pPr>
              <w:adjustRightInd w:val="0"/>
              <w:snapToGrid w:val="0"/>
              <w:spacing w:line="320" w:lineRule="exact"/>
              <w:jc w:val="center"/>
              <w:rPr>
                <w:rFonts w:hint="eastAsia" w:ascii="宋体" w:hAnsi="宋体" w:cs="宋体"/>
                <w:szCs w:val="21"/>
              </w:rPr>
            </w:pPr>
            <w:r>
              <w:rPr>
                <w:rFonts w:hint="eastAsia" w:ascii="宋体" w:hAnsi="宋体" w:cs="宋体"/>
                <w:szCs w:val="21"/>
              </w:rPr>
              <w:t>5</w:t>
            </w:r>
          </w:p>
        </w:tc>
        <w:tc>
          <w:tcPr>
            <w:tcW w:w="3420" w:type="pct"/>
            <w:gridSpan w:val="2"/>
            <w:tcBorders>
              <w:top w:val="single" w:color="auto" w:sz="4" w:space="0"/>
              <w:left w:val="single" w:color="auto" w:sz="4" w:space="0"/>
              <w:right w:val="single" w:color="auto" w:sz="4" w:space="0"/>
            </w:tcBorders>
            <w:vAlign w:val="center"/>
          </w:tcPr>
          <w:p w14:paraId="6969C9DE">
            <w:pPr>
              <w:adjustRightInd w:val="0"/>
              <w:snapToGrid w:val="0"/>
              <w:spacing w:line="320" w:lineRule="exact"/>
              <w:rPr>
                <w:rFonts w:hint="eastAsia" w:ascii="宋体" w:hAnsi="宋体" w:cs="宋体"/>
                <w:szCs w:val="21"/>
                <w:lang w:val="zh-CN"/>
              </w:rPr>
            </w:pPr>
            <w:r>
              <w:rPr>
                <w:rFonts w:hint="eastAsia" w:ascii="宋体" w:hAnsi="宋体" w:cs="宋体"/>
                <w:szCs w:val="21"/>
                <w:lang w:val="zh-CN"/>
              </w:rPr>
              <w:t xml:space="preserve">由评标委员会根据投标人提供的近三年类似业绩进行认定。 有一个有效业绩得 </w:t>
            </w:r>
            <w:r>
              <w:rPr>
                <w:rFonts w:ascii="宋体" w:hAnsi="宋体" w:cs="宋体"/>
                <w:szCs w:val="21"/>
                <w:lang w:val="zh-CN"/>
              </w:rPr>
              <w:t xml:space="preserve">1 </w:t>
            </w:r>
            <w:r>
              <w:rPr>
                <w:rFonts w:hint="eastAsia" w:ascii="宋体" w:hAnsi="宋体" w:cs="宋体"/>
                <w:szCs w:val="21"/>
                <w:lang w:val="zh-CN"/>
              </w:rPr>
              <w:t xml:space="preserve">分，每增加一个有效业绩加 </w:t>
            </w:r>
            <w:r>
              <w:rPr>
                <w:rFonts w:ascii="宋体" w:hAnsi="宋体" w:cs="宋体"/>
                <w:szCs w:val="21"/>
                <w:lang w:val="zh-CN"/>
              </w:rPr>
              <w:t xml:space="preserve">1 </w:t>
            </w:r>
            <w:r>
              <w:rPr>
                <w:rFonts w:hint="eastAsia" w:ascii="宋体" w:hAnsi="宋体" w:cs="宋体"/>
                <w:szCs w:val="21"/>
                <w:lang w:val="zh-CN"/>
              </w:rPr>
              <w:t xml:space="preserve">分，最 高得分为 </w:t>
            </w:r>
            <w:r>
              <w:rPr>
                <w:rFonts w:ascii="宋体" w:hAnsi="宋体" w:cs="宋体"/>
                <w:szCs w:val="21"/>
                <w:lang w:val="zh-CN"/>
              </w:rPr>
              <w:t xml:space="preserve">5 </w:t>
            </w:r>
            <w:r>
              <w:rPr>
                <w:rFonts w:hint="eastAsia" w:ascii="宋体" w:hAnsi="宋体" w:cs="宋体"/>
                <w:szCs w:val="21"/>
                <w:lang w:val="zh-CN"/>
              </w:rPr>
              <w:t xml:space="preserve">分，没有有效的类似项目业绩的得 </w:t>
            </w:r>
            <w:r>
              <w:rPr>
                <w:rFonts w:ascii="宋体" w:hAnsi="宋体" w:cs="宋体"/>
                <w:szCs w:val="21"/>
                <w:lang w:val="zh-CN"/>
              </w:rPr>
              <w:t xml:space="preserve">0 </w:t>
            </w:r>
            <w:r>
              <w:rPr>
                <w:rFonts w:hint="eastAsia" w:ascii="宋体" w:hAnsi="宋体" w:cs="宋体"/>
                <w:szCs w:val="21"/>
                <w:lang w:val="zh-CN"/>
              </w:rPr>
              <w:t>分。 （需提供项目合同或中标通知书复印件加盖公章）</w:t>
            </w:r>
          </w:p>
        </w:tc>
        <w:tc>
          <w:tcPr>
            <w:tcW w:w="361" w:type="pct"/>
            <w:shd w:val="clear" w:color="auto" w:fill="auto"/>
            <w:vAlign w:val="center"/>
          </w:tcPr>
          <w:p w14:paraId="49C1700C">
            <w:pPr>
              <w:widowControl/>
              <w:jc w:val="center"/>
              <w:rPr>
                <w:rFonts w:ascii="宋体" w:hAnsi="宋体"/>
                <w:szCs w:val="21"/>
              </w:rPr>
            </w:pPr>
          </w:p>
        </w:tc>
      </w:tr>
      <w:tr w14:paraId="519C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639" w:type="pct"/>
            <w:gridSpan w:val="6"/>
            <w:tcBorders>
              <w:left w:val="single" w:color="auto" w:sz="4" w:space="0"/>
              <w:right w:val="single" w:color="auto" w:sz="4" w:space="0"/>
            </w:tcBorders>
            <w:vAlign w:val="center"/>
          </w:tcPr>
          <w:p w14:paraId="7214CC4B">
            <w:pPr>
              <w:widowControl/>
              <w:adjustRightInd w:val="0"/>
              <w:snapToGrid w:val="0"/>
              <w:spacing w:before="156" w:beforeLines="50" w:after="156" w:afterLines="50" w:line="276" w:lineRule="auto"/>
              <w:ind w:firstLine="420" w:firstLineChars="200"/>
              <w:rPr>
                <w:rFonts w:ascii="宋体" w:hAnsi="宋体" w:cs="宋体"/>
                <w:szCs w:val="21"/>
                <w:lang w:val="zh-CN"/>
              </w:rPr>
            </w:pPr>
            <w:r>
              <w:rPr>
                <w:rFonts w:hint="eastAsia" w:ascii="宋体" w:hAnsi="宋体" w:cs="宋体"/>
                <w:szCs w:val="21"/>
                <w:lang w:val="zh-CN"/>
              </w:rPr>
              <w:t>中标后，接采购人通知3个工作日内提供证书原件备查，如未提供，视为虚假应标处理，取消中标资格。</w:t>
            </w:r>
          </w:p>
        </w:tc>
        <w:tc>
          <w:tcPr>
            <w:tcW w:w="361" w:type="pct"/>
            <w:shd w:val="clear" w:color="auto" w:fill="auto"/>
            <w:vAlign w:val="center"/>
          </w:tcPr>
          <w:p w14:paraId="72B25529">
            <w:pPr>
              <w:widowControl/>
              <w:jc w:val="center"/>
              <w:rPr>
                <w:rFonts w:ascii="宋体" w:hAnsi="宋体"/>
                <w:szCs w:val="21"/>
              </w:rPr>
            </w:pPr>
          </w:p>
        </w:tc>
      </w:tr>
      <w:tr w14:paraId="4D6B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4" w:type="pct"/>
            <w:gridSpan w:val="3"/>
            <w:tcBorders>
              <w:top w:val="single" w:color="auto" w:sz="4" w:space="0"/>
              <w:left w:val="single" w:color="auto" w:sz="4" w:space="0"/>
              <w:bottom w:val="single" w:color="auto" w:sz="4" w:space="0"/>
              <w:right w:val="single" w:color="auto" w:sz="4" w:space="0"/>
            </w:tcBorders>
            <w:vAlign w:val="center"/>
          </w:tcPr>
          <w:p w14:paraId="48FE799E">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总分</w:t>
            </w:r>
          </w:p>
        </w:tc>
        <w:tc>
          <w:tcPr>
            <w:tcW w:w="354" w:type="pct"/>
            <w:gridSpan w:val="2"/>
            <w:tcBorders>
              <w:top w:val="single" w:color="auto" w:sz="4" w:space="0"/>
              <w:left w:val="single" w:color="auto" w:sz="4" w:space="0"/>
              <w:bottom w:val="single" w:color="auto" w:sz="4" w:space="0"/>
              <w:right w:val="single" w:color="auto" w:sz="4" w:space="0"/>
            </w:tcBorders>
            <w:vAlign w:val="center"/>
          </w:tcPr>
          <w:p w14:paraId="09EEFF0E">
            <w:pPr>
              <w:adjustRightInd w:val="0"/>
              <w:snapToGrid w:val="0"/>
              <w:spacing w:line="320" w:lineRule="exact"/>
              <w:jc w:val="center"/>
              <w:rPr>
                <w:rFonts w:ascii="宋体" w:hAnsi="宋体" w:cs="宋体"/>
                <w:b/>
                <w:szCs w:val="21"/>
                <w:lang w:val="zh-CN"/>
              </w:rPr>
            </w:pPr>
            <w:r>
              <w:rPr>
                <w:rFonts w:hint="eastAsia" w:ascii="宋体" w:hAnsi="宋体" w:cs="宋体"/>
                <w:b/>
                <w:szCs w:val="21"/>
                <w:lang w:val="zh-CN"/>
              </w:rPr>
              <w:t>100</w:t>
            </w:r>
          </w:p>
        </w:tc>
        <w:tc>
          <w:tcPr>
            <w:tcW w:w="3271" w:type="pct"/>
            <w:tcBorders>
              <w:top w:val="single" w:color="auto" w:sz="4" w:space="0"/>
              <w:left w:val="single" w:color="auto" w:sz="4" w:space="0"/>
              <w:bottom w:val="single" w:color="auto" w:sz="4" w:space="0"/>
              <w:right w:val="single" w:color="auto" w:sz="4" w:space="0"/>
            </w:tcBorders>
            <w:vAlign w:val="center"/>
          </w:tcPr>
          <w:p w14:paraId="18BACE4B">
            <w:pPr>
              <w:adjustRightInd w:val="0"/>
              <w:snapToGrid w:val="0"/>
              <w:spacing w:line="320" w:lineRule="exact"/>
              <w:jc w:val="center"/>
              <w:rPr>
                <w:rFonts w:ascii="宋体" w:hAnsi="宋体" w:cs="宋体"/>
                <w:szCs w:val="21"/>
                <w:lang w:val="zh-CN"/>
              </w:rPr>
            </w:pPr>
            <w:r>
              <w:rPr>
                <w:rFonts w:ascii="宋体" w:hAnsi="宋体" w:cs="宋体"/>
                <w:b/>
                <w:szCs w:val="21"/>
                <w:lang w:val="zh-CN"/>
              </w:rPr>
              <w:t>评分总分</w:t>
            </w:r>
          </w:p>
        </w:tc>
        <w:tc>
          <w:tcPr>
            <w:tcW w:w="361" w:type="pct"/>
            <w:shd w:val="clear" w:color="auto" w:fill="auto"/>
            <w:vAlign w:val="center"/>
          </w:tcPr>
          <w:p w14:paraId="6C136DA6">
            <w:pPr>
              <w:widowControl/>
              <w:jc w:val="center"/>
              <w:rPr>
                <w:rFonts w:ascii="宋体" w:hAnsi="宋体"/>
                <w:szCs w:val="21"/>
              </w:rPr>
            </w:pPr>
          </w:p>
        </w:tc>
      </w:tr>
    </w:tbl>
    <w:p w14:paraId="5203F0FD">
      <w:pPr>
        <w:adjustRightInd w:val="0"/>
        <w:snapToGrid w:val="0"/>
        <w:spacing w:line="320" w:lineRule="exact"/>
        <w:jc w:val="left"/>
        <w:rPr>
          <w:rFonts w:ascii="宋体" w:hAnsi="宋体" w:cs="宋体"/>
          <w:b/>
          <w:sz w:val="24"/>
          <w:lang w:val="zh-CN"/>
        </w:rPr>
      </w:pPr>
      <w:r>
        <w:rPr>
          <w:rFonts w:ascii="宋体" w:hAnsi="宋体" w:cs="宋体"/>
          <w:b/>
          <w:sz w:val="24"/>
          <w:lang w:val="zh-CN"/>
        </w:rPr>
        <w:t>评分人签字：</w:t>
      </w:r>
      <w:r>
        <w:rPr>
          <w:rFonts w:hint="eastAsia" w:ascii="宋体" w:hAnsi="宋体" w:cs="宋体"/>
          <w:b/>
          <w:sz w:val="24"/>
          <w:lang w:val="zh-CN"/>
        </w:rPr>
        <w:t xml:space="preserve">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A45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5EE3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75EE3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DA1NDgwNDAzZDg2NzYxOWI3Y2Q5ZjdkMzM2YTYifQ=="/>
  </w:docVars>
  <w:rsids>
    <w:rsidRoot w:val="004C00F3"/>
    <w:rsid w:val="00001E81"/>
    <w:rsid w:val="00005C18"/>
    <w:rsid w:val="00012014"/>
    <w:rsid w:val="00051CE8"/>
    <w:rsid w:val="00062A9A"/>
    <w:rsid w:val="000840A5"/>
    <w:rsid w:val="000B3A12"/>
    <w:rsid w:val="00130B42"/>
    <w:rsid w:val="002C4C28"/>
    <w:rsid w:val="00357601"/>
    <w:rsid w:val="0044115E"/>
    <w:rsid w:val="00466825"/>
    <w:rsid w:val="00467463"/>
    <w:rsid w:val="004C00F3"/>
    <w:rsid w:val="004C4FCD"/>
    <w:rsid w:val="004E6D06"/>
    <w:rsid w:val="00554836"/>
    <w:rsid w:val="00571215"/>
    <w:rsid w:val="005741E6"/>
    <w:rsid w:val="005A108E"/>
    <w:rsid w:val="005C36E1"/>
    <w:rsid w:val="00644467"/>
    <w:rsid w:val="00734617"/>
    <w:rsid w:val="007A0BF7"/>
    <w:rsid w:val="007E6528"/>
    <w:rsid w:val="008C7224"/>
    <w:rsid w:val="00924B60"/>
    <w:rsid w:val="00930BFA"/>
    <w:rsid w:val="00937E8D"/>
    <w:rsid w:val="009428C8"/>
    <w:rsid w:val="00A46A8E"/>
    <w:rsid w:val="00B00485"/>
    <w:rsid w:val="00B36DD3"/>
    <w:rsid w:val="00B6523F"/>
    <w:rsid w:val="00B66B0F"/>
    <w:rsid w:val="00C142A4"/>
    <w:rsid w:val="00C16625"/>
    <w:rsid w:val="00C341B7"/>
    <w:rsid w:val="00C816A0"/>
    <w:rsid w:val="00D734BE"/>
    <w:rsid w:val="00EC39D6"/>
    <w:rsid w:val="00F027E6"/>
    <w:rsid w:val="00F47AEC"/>
    <w:rsid w:val="00F9000D"/>
    <w:rsid w:val="15DB28AD"/>
    <w:rsid w:val="1D9C6F52"/>
    <w:rsid w:val="2399557F"/>
    <w:rsid w:val="2B1842DD"/>
    <w:rsid w:val="31E623A8"/>
    <w:rsid w:val="3FFFAAD3"/>
    <w:rsid w:val="46137671"/>
    <w:rsid w:val="4C750C5A"/>
    <w:rsid w:val="529637BA"/>
    <w:rsid w:val="53DF6B3B"/>
    <w:rsid w:val="550E05F9"/>
    <w:rsid w:val="5FEF8789"/>
    <w:rsid w:val="67FC406B"/>
    <w:rsid w:val="6FF55F1D"/>
    <w:rsid w:val="71931651"/>
    <w:rsid w:val="75BDF55B"/>
    <w:rsid w:val="76BD00E7"/>
    <w:rsid w:val="7977649B"/>
    <w:rsid w:val="7BD15445"/>
    <w:rsid w:val="8FB6ED6D"/>
    <w:rsid w:val="97FCF32F"/>
    <w:rsid w:val="BB678A16"/>
    <w:rsid w:val="BF7BBA8D"/>
    <w:rsid w:val="D3FDDADF"/>
    <w:rsid w:val="EFF7851F"/>
    <w:rsid w:val="EFFE4300"/>
    <w:rsid w:val="FDEE8373"/>
    <w:rsid w:val="FEE952EB"/>
    <w:rsid w:val="FFD5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Plotter" w:hAnsi="Plotter" w:eastAsia="仿宋_GB2312"/>
      <w:sz w:val="18"/>
      <w:szCs w:val="20"/>
    </w:rPr>
  </w:style>
  <w:style w:type="paragraph" w:styleId="4">
    <w:name w:val="Body Text Indent"/>
    <w:basedOn w:val="1"/>
    <w:next w:val="5"/>
    <w:qFormat/>
    <w:uiPriority w:val="0"/>
    <w:pPr>
      <w:spacing w:line="360" w:lineRule="auto"/>
      <w:ind w:firstLine="600" w:firstLineChars="200"/>
    </w:pPr>
    <w:rPr>
      <w:rFonts w:ascii="仿宋_GB2312" w:hAnsi="宋体" w:eastAsia="仿宋_GB2312"/>
      <w:sz w:val="30"/>
    </w:rPr>
  </w:style>
  <w:style w:type="paragraph" w:styleId="5">
    <w:name w:val="Body Text First Indent 2"/>
    <w:basedOn w:val="4"/>
    <w:qFormat/>
    <w:uiPriority w:val="0"/>
    <w:pPr>
      <w:widowControl/>
      <w:spacing w:after="120" w:line="276" w:lineRule="auto"/>
      <w:ind w:left="420" w:leftChars="200" w:firstLine="420"/>
      <w:jc w:val="left"/>
    </w:pPr>
    <w:rPr>
      <w:rFonts w:ascii="Calibri" w:hAnsi="Calibri"/>
      <w:sz w:val="21"/>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font11"/>
    <w:basedOn w:val="11"/>
    <w:qFormat/>
    <w:uiPriority w:val="0"/>
    <w:rPr>
      <w:rFonts w:hint="eastAsia" w:ascii="宋体" w:hAnsi="宋体" w:eastAsia="宋体" w:cs="宋体"/>
      <w:b/>
      <w:bCs/>
      <w:color w:val="000000"/>
      <w:sz w:val="28"/>
      <w:szCs w:val="28"/>
      <w:u w:val="none"/>
    </w:rPr>
  </w:style>
  <w:style w:type="character" w:customStyle="1" w:styleId="15">
    <w:name w:val="font01"/>
    <w:basedOn w:val="11"/>
    <w:qFormat/>
    <w:uiPriority w:val="0"/>
    <w:rPr>
      <w:rFonts w:hint="eastAsia" w:ascii="宋体" w:hAnsi="宋体" w:eastAsia="宋体" w:cs="宋体"/>
      <w:color w:val="000000"/>
      <w:sz w:val="22"/>
      <w:szCs w:val="22"/>
      <w:u w:val="none"/>
    </w:rPr>
  </w:style>
  <w:style w:type="character" w:customStyle="1" w:styleId="16">
    <w:name w:val="font31"/>
    <w:basedOn w:val="11"/>
    <w:qFormat/>
    <w:uiPriority w:val="0"/>
    <w:rPr>
      <w:rFonts w:ascii="Calibri" w:hAnsi="Calibri" w:cs="Calibri"/>
      <w:color w:val="000000"/>
      <w:sz w:val="22"/>
      <w:szCs w:val="22"/>
      <w:u w:val="none"/>
    </w:rPr>
  </w:style>
  <w:style w:type="paragraph" w:customStyle="1" w:styleId="17">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table" w:customStyle="1" w:styleId="18">
    <w:name w:val="Table Normal"/>
    <w:qFormat/>
    <w:uiPriority w:val="0"/>
    <w:tblPr>
      <w:tblCellMar>
        <w:top w:w="0" w:type="dxa"/>
        <w:left w:w="0" w:type="dxa"/>
        <w:bottom w:w="0" w:type="dxa"/>
        <w:right w:w="0" w:type="dxa"/>
      </w:tblCellMar>
    </w:tblPr>
  </w:style>
  <w:style w:type="paragraph" w:styleId="19">
    <w:name w:val="List Paragraph"/>
    <w:basedOn w:val="1"/>
    <w:qFormat/>
    <w:uiPriority w:val="34"/>
    <w:pPr>
      <w:ind w:firstLine="420" w:firstLineChars="200"/>
    </w:pPr>
  </w:style>
  <w:style w:type="paragraph" w:customStyle="1" w:styleId="20">
    <w:name w:val="无间距"/>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1086</Words>
  <Characters>1119</Characters>
  <Lines>8</Lines>
  <Paragraphs>2</Paragraphs>
  <TotalTime>246</TotalTime>
  <ScaleCrop>false</ScaleCrop>
  <LinksUpToDate>false</LinksUpToDate>
  <CharactersWithSpaces>1196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2023-11-29T03:10:00Z</dcterms:created>
  <dc:creator>ChenXuan</dc:creator>
  <cp:lastModifiedBy>刘勇</cp:lastModifiedBy>
  <dcterms:modified xsi:type="dcterms:W3CDTF">2025-06-18T06:14:40Z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0DCE4AE3873447509EF84B6CC2C3A146_13</vt:lpwstr>
  </property>
  <property fmtid="{D5CDD505-2E9C-101B-9397-08002B2CF9AE}" pid="4" name="KSOTemplateDocerSaveRecord">
    <vt:lpwstr>eyJoZGlkIjoiMjU3M2VmY2MyZTlhZmVjYzAyYTMwZDhlODU2Nzc3NGEiLCJ1c2VySWQiOiIyMzcwMDc5NjQifQ==</vt:lpwstr>
  </property>
</Properties>
</file>