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9" w:lineRule="auto"/>
        <w:rPr>
          <w:rFonts w:ascii="Arial"/>
          <w:sz w:val="21"/>
        </w:rPr>
      </w:pPr>
    </w:p>
    <w:p>
      <w:pPr>
        <w:pStyle w:val="2"/>
        <w:spacing w:before="65" w:line="229" w:lineRule="auto"/>
        <w:ind w:left="3860"/>
        <w:rPr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投标评分细则（</w:t>
      </w:r>
      <w:r>
        <w:rPr>
          <w:rFonts w:ascii="Calibri" w:hAnsi="Calibri" w:eastAsia="Calibri" w:cs="Calibri"/>
          <w:b/>
          <w:bCs/>
          <w:spacing w:val="4"/>
          <w:sz w:val="24"/>
          <w:szCs w:val="24"/>
        </w:rPr>
        <w:t>100</w:t>
      </w:r>
      <w:r>
        <w:rPr>
          <w:rFonts w:ascii="Calibri" w:hAnsi="Calibri" w:eastAsia="Calibri" w:cs="Calibri"/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pacing w:val="4"/>
          <w:sz w:val="24"/>
          <w:szCs w:val="24"/>
        </w:rPr>
        <w:t>分）</w:t>
      </w:r>
    </w:p>
    <w:tbl>
      <w:tblPr>
        <w:tblStyle w:val="6"/>
        <w:tblW w:w="92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679"/>
        <w:gridCol w:w="59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569" w:type="dxa"/>
            <w:vAlign w:val="top"/>
          </w:tcPr>
          <w:p>
            <w:pPr>
              <w:pStyle w:val="7"/>
              <w:spacing w:before="35" w:line="218" w:lineRule="auto"/>
              <w:ind w:left="1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1679" w:type="dxa"/>
            <w:vAlign w:val="top"/>
          </w:tcPr>
          <w:p>
            <w:pPr>
              <w:pStyle w:val="7"/>
              <w:spacing w:before="35" w:line="218" w:lineRule="auto"/>
              <w:ind w:left="1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分值区间</w:t>
            </w:r>
          </w:p>
        </w:tc>
        <w:tc>
          <w:tcPr>
            <w:tcW w:w="5979" w:type="dxa"/>
            <w:vAlign w:val="top"/>
          </w:tcPr>
          <w:p>
            <w:pPr>
              <w:pStyle w:val="7"/>
              <w:spacing w:before="35" w:line="218" w:lineRule="auto"/>
              <w:ind w:left="1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评分办法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69" w:type="dxa"/>
            <w:vAlign w:val="top"/>
          </w:tcPr>
          <w:p>
            <w:pPr>
              <w:pStyle w:val="7"/>
              <w:spacing w:before="31" w:line="227" w:lineRule="auto"/>
              <w:ind w:left="1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报价得分</w:t>
            </w:r>
          </w:p>
        </w:tc>
        <w:tc>
          <w:tcPr>
            <w:tcW w:w="1679" w:type="dxa"/>
            <w:vAlign w:val="top"/>
          </w:tcPr>
          <w:p>
            <w:pPr>
              <w:spacing w:before="62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0~30</w:t>
            </w:r>
          </w:p>
        </w:tc>
        <w:tc>
          <w:tcPr>
            <w:tcW w:w="5979" w:type="dxa"/>
            <w:vAlign w:val="top"/>
          </w:tcPr>
          <w:p>
            <w:pPr>
              <w:pStyle w:val="7"/>
              <w:spacing w:before="32" w:line="234" w:lineRule="auto"/>
              <w:ind w:left="106" w:right="111" w:firstLine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价格评分满分为 30 分，以实质性满足招标文件商务和技术要求的最低投标报价为基准价，投标报价得分=基准价/投标报价*30%*100。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569" w:type="dxa"/>
            <w:vAlign w:val="top"/>
          </w:tcPr>
          <w:p>
            <w:pPr>
              <w:pStyle w:val="7"/>
              <w:spacing w:before="32" w:line="228" w:lineRule="auto"/>
              <w:ind w:left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实样</w:t>
            </w:r>
          </w:p>
        </w:tc>
        <w:tc>
          <w:tcPr>
            <w:tcW w:w="1679" w:type="dxa"/>
            <w:vAlign w:val="top"/>
          </w:tcPr>
          <w:p>
            <w:pPr>
              <w:spacing w:before="65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0~15</w:t>
            </w:r>
          </w:p>
        </w:tc>
        <w:tc>
          <w:tcPr>
            <w:tcW w:w="5979" w:type="dxa"/>
            <w:vAlign w:val="top"/>
          </w:tcPr>
          <w:p>
            <w:pPr>
              <w:pStyle w:val="7"/>
              <w:spacing w:before="30" w:line="246" w:lineRule="auto"/>
              <w:ind w:left="112" w:right="109" w:firstLine="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一、评审内容：外观、尺寸、制造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工艺。二、评审标准：投标实样的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外观是否优美、尺寸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是否精确、材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质制作工艺是否一流。每一小项各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0-5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color w:val="000000" w:themeColor="text1"/>
                <w:spacing w:val="-5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本项最高总得分为</w:t>
            </w:r>
            <w:r>
              <w:rPr>
                <w:color w:val="000000" w:themeColor="text1"/>
                <w:spacing w:val="7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569" w:type="dxa"/>
            <w:vAlign w:val="top"/>
          </w:tcPr>
          <w:p>
            <w:pPr>
              <w:pStyle w:val="7"/>
              <w:spacing w:before="31" w:line="228" w:lineRule="auto"/>
              <w:ind w:left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实样材质</w:t>
            </w:r>
          </w:p>
        </w:tc>
        <w:tc>
          <w:tcPr>
            <w:tcW w:w="1679" w:type="dxa"/>
            <w:vAlign w:val="top"/>
          </w:tcPr>
          <w:p>
            <w:pPr>
              <w:spacing w:before="65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0~20</w:t>
            </w:r>
          </w:p>
        </w:tc>
        <w:tc>
          <w:tcPr>
            <w:tcW w:w="5979" w:type="dxa"/>
            <w:vAlign w:val="top"/>
          </w:tcPr>
          <w:p>
            <w:pPr>
              <w:pStyle w:val="7"/>
              <w:spacing w:before="28" w:line="246" w:lineRule="auto"/>
              <w:ind w:left="113" w:right="109" w:firstLine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一、评审内容：主材、辅材、五金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件、油漆。二、评审标准：投标货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物是否使用上乘主材及辅材、是否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使用知名五金件及油漆。每一小项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0-5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2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分，本项最高总得分为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569" w:type="dxa"/>
            <w:vAlign w:val="top"/>
          </w:tcPr>
          <w:p>
            <w:pPr>
              <w:pStyle w:val="7"/>
              <w:spacing w:before="33" w:line="228" w:lineRule="auto"/>
              <w:ind w:left="1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生产组织</w:t>
            </w:r>
          </w:p>
        </w:tc>
        <w:tc>
          <w:tcPr>
            <w:tcW w:w="1679" w:type="dxa"/>
            <w:vAlign w:val="top"/>
          </w:tcPr>
          <w:p>
            <w:pPr>
              <w:spacing w:before="66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0~4</w:t>
            </w:r>
          </w:p>
        </w:tc>
        <w:tc>
          <w:tcPr>
            <w:tcW w:w="5979" w:type="dxa"/>
            <w:vAlign w:val="top"/>
          </w:tcPr>
          <w:p>
            <w:pPr>
              <w:pStyle w:val="7"/>
              <w:spacing w:before="34" w:line="246" w:lineRule="auto"/>
              <w:ind w:left="113" w:right="38" w:firstLine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一、评审内容：生产工艺、生产设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备配置、生产组织、质量控制。二、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评审标准：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生产工艺是否先进精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细、生产设备配置是否先进齐全、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生产组织是否科学详细、质量控制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体系是否完备</w:t>
            </w:r>
            <w:r>
              <w:rPr>
                <w:color w:val="000000" w:themeColor="text1"/>
                <w:spacing w:val="-4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。每一小项各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分，本项最高总得分为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569" w:type="dxa"/>
            <w:vAlign w:val="top"/>
          </w:tcPr>
          <w:p>
            <w:pPr>
              <w:pStyle w:val="7"/>
              <w:spacing w:before="35" w:line="229" w:lineRule="auto"/>
              <w:ind w:left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安装组织</w:t>
            </w:r>
          </w:p>
        </w:tc>
        <w:tc>
          <w:tcPr>
            <w:tcW w:w="1679" w:type="dxa"/>
            <w:vAlign w:val="top"/>
          </w:tcPr>
          <w:p>
            <w:pPr>
              <w:spacing w:before="66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0~5</w:t>
            </w:r>
          </w:p>
        </w:tc>
        <w:tc>
          <w:tcPr>
            <w:tcW w:w="5979" w:type="dxa"/>
            <w:vAlign w:val="top"/>
          </w:tcPr>
          <w:p>
            <w:pPr>
              <w:pStyle w:val="7"/>
              <w:spacing w:before="32" w:line="247" w:lineRule="auto"/>
              <w:ind w:left="115" w:right="86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一、评审内容：物流保障、安装工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艺及工序、安装进度、安全措施、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人员配备。二、评审标准：物流保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障是否安全高效、安装工艺及工序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是否科学合理；</w:t>
            </w:r>
            <w:r>
              <w:rPr>
                <w:color w:val="000000" w:themeColor="text1"/>
                <w:spacing w:val="-4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安装进度是否合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理；安全措施是否得当；人员配备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是否充足。每一小项各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7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本项最高得分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569" w:type="dxa"/>
            <w:vAlign w:val="top"/>
          </w:tcPr>
          <w:p>
            <w:pPr>
              <w:pStyle w:val="7"/>
              <w:spacing w:before="36" w:line="228" w:lineRule="auto"/>
              <w:ind w:left="1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售后服务</w:t>
            </w:r>
          </w:p>
        </w:tc>
        <w:tc>
          <w:tcPr>
            <w:tcW w:w="1679" w:type="dxa"/>
            <w:vAlign w:val="top"/>
          </w:tcPr>
          <w:p>
            <w:pPr>
              <w:spacing w:before="67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0~5</w:t>
            </w:r>
          </w:p>
        </w:tc>
        <w:tc>
          <w:tcPr>
            <w:tcW w:w="5979" w:type="dxa"/>
            <w:vAlign w:val="top"/>
          </w:tcPr>
          <w:p>
            <w:pPr>
              <w:pStyle w:val="7"/>
              <w:spacing w:before="35" w:line="247" w:lineRule="auto"/>
              <w:ind w:left="114" w:right="109" w:firstLine="3"/>
              <w:jc w:val="both"/>
              <w:rPr>
                <w:rFonts w:ascii="Calibri" w:hAnsi="Calibri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一、评审内容：售后服务内容及响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应时间、培训计划和内容、维保服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务内容和价格、备品备件供货和价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格。二、评审标准：售后服务内容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是否完善且响应迅速；培训计划和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内容是否充实；维保服务内容和价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格是否合理；备品备件供货和价格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是否可靠和合理。每一小项各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9"/>
          <w:pgMar w:top="1431" w:right="0" w:bottom="1157" w:left="967" w:header="0" w:footer="992" w:gutter="0"/>
          <w:cols w:space="720" w:num="1"/>
        </w:sectPr>
      </w:pPr>
    </w:p>
    <w:p>
      <w:pPr>
        <w:spacing w:line="91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3319"/>
        <w:gridCol w:w="33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23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4" w:type="dxa"/>
            <w:vAlign w:val="top"/>
          </w:tcPr>
          <w:p>
            <w:pPr>
              <w:pStyle w:val="7"/>
              <w:spacing w:before="36" w:line="217" w:lineRule="auto"/>
              <w:ind w:left="1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分，本项最高总得分为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3323" w:type="dxa"/>
            <w:vAlign w:val="top"/>
          </w:tcPr>
          <w:p>
            <w:pPr>
              <w:pStyle w:val="7"/>
              <w:spacing w:before="31" w:line="228" w:lineRule="auto"/>
              <w:ind w:left="1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综合能力</w:t>
            </w:r>
          </w:p>
        </w:tc>
        <w:tc>
          <w:tcPr>
            <w:tcW w:w="3319" w:type="dxa"/>
            <w:vAlign w:val="top"/>
          </w:tcPr>
          <w:p>
            <w:pPr>
              <w:spacing w:before="64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0~3</w:t>
            </w:r>
          </w:p>
        </w:tc>
        <w:tc>
          <w:tcPr>
            <w:tcW w:w="3324" w:type="dxa"/>
            <w:vAlign w:val="top"/>
          </w:tcPr>
          <w:p>
            <w:pPr>
              <w:pStyle w:val="7"/>
              <w:spacing w:before="29" w:line="246" w:lineRule="auto"/>
              <w:ind w:left="114" w:right="109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一、评审内容：生产能力、仓储面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积、管理制度。二、评审标准：投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标人生产能力是否较强、是否具有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足够的仓储面积、管理制度是否完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善。每一小项各</w:t>
            </w: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分，本项最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高总得分为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3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3323" w:type="dxa"/>
            <w:vAlign w:val="top"/>
          </w:tcPr>
          <w:p>
            <w:pPr>
              <w:pStyle w:val="7"/>
              <w:spacing w:before="32" w:line="227" w:lineRule="auto"/>
              <w:ind w:left="1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质量检测报告</w:t>
            </w:r>
          </w:p>
        </w:tc>
        <w:tc>
          <w:tcPr>
            <w:tcW w:w="3319" w:type="dxa"/>
            <w:vAlign w:val="top"/>
          </w:tcPr>
          <w:p>
            <w:pPr>
              <w:spacing w:before="65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0~6</w:t>
            </w:r>
          </w:p>
        </w:tc>
        <w:tc>
          <w:tcPr>
            <w:tcW w:w="3324" w:type="dxa"/>
            <w:vAlign w:val="top"/>
          </w:tcPr>
          <w:p>
            <w:pPr>
              <w:pStyle w:val="7"/>
              <w:spacing w:before="291" w:line="246" w:lineRule="auto"/>
              <w:ind w:left="113" w:right="100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>提供省市级及以上检验机构出具</w:t>
            </w: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的样品全性能质检报告。报告上检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测货物名称、尺寸须与本次项目出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样样品一致，且日期在有效期内，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有一项得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分，最多得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分。检验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报告上送检单位须为投标厂家，否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则不得分。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5" w:hRule="atLeast"/>
        </w:trPr>
        <w:tc>
          <w:tcPr>
            <w:tcW w:w="3323" w:type="dxa"/>
            <w:vAlign w:val="top"/>
          </w:tcPr>
          <w:p>
            <w:pPr>
              <w:pStyle w:val="7"/>
              <w:spacing w:before="34" w:line="228" w:lineRule="auto"/>
              <w:ind w:left="1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类似业绩</w:t>
            </w:r>
          </w:p>
        </w:tc>
        <w:tc>
          <w:tcPr>
            <w:tcW w:w="3319" w:type="dxa"/>
            <w:vAlign w:val="top"/>
          </w:tcPr>
          <w:p>
            <w:pPr>
              <w:spacing w:before="65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0~7</w:t>
            </w:r>
          </w:p>
        </w:tc>
        <w:tc>
          <w:tcPr>
            <w:tcW w:w="3324" w:type="dxa"/>
            <w:vAlign w:val="top"/>
          </w:tcPr>
          <w:p>
            <w:pPr>
              <w:pStyle w:val="7"/>
              <w:spacing w:before="288" w:line="249" w:lineRule="auto"/>
              <w:ind w:left="113" w:right="37" w:firstLine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一、评审内容：近三年（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4 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至今）以来类似项目业绩。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二、评审标准：是否属于有效的类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似项目业绩由评委根据投标人提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供的业绩在业务内容、技术特点等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方面与本项目的类似程度进行认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定。投标人须提供类似项目的所投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品牌合同扫描件，合同扫描件中须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体现合同的签约主体、项目名称及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内容、合同金额、服务日期等合同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要素的相关内容，否则不算有效的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类似项目业绩。有一个有效业绩得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color w:val="000000" w:themeColor="text1"/>
                <w:spacing w:val="-5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每增加一个有效业绩加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分，最高得分为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0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分，没有有效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的类似项目业绩的得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6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7" w:hRule="atLeast"/>
        </w:trPr>
        <w:tc>
          <w:tcPr>
            <w:tcW w:w="3323" w:type="dxa"/>
            <w:vAlign w:val="top"/>
          </w:tcPr>
          <w:p>
            <w:pPr>
              <w:pStyle w:val="7"/>
              <w:spacing w:before="35" w:line="228" w:lineRule="auto"/>
              <w:ind w:left="1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样品印象分</w:t>
            </w:r>
          </w:p>
        </w:tc>
        <w:tc>
          <w:tcPr>
            <w:tcW w:w="3319" w:type="dxa"/>
            <w:vAlign w:val="top"/>
          </w:tcPr>
          <w:p>
            <w:pPr>
              <w:spacing w:before="66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0~5</w:t>
            </w:r>
          </w:p>
        </w:tc>
        <w:tc>
          <w:tcPr>
            <w:tcW w:w="3324" w:type="dxa"/>
            <w:vAlign w:val="top"/>
          </w:tcPr>
          <w:p>
            <w:pPr>
              <w:pStyle w:val="7"/>
              <w:spacing w:before="291" w:line="238" w:lineRule="auto"/>
              <w:ind w:left="116" w:right="77" w:firstLine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一、样品的质量，款式是否坚固耐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用，各结构是否合理，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每个（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2-3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b/>
                <w:bCs/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b/>
                <w:bCs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b/>
                <w:bCs/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没有不得分，最高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1906" w:h="16839"/>
      <w:pgMar w:top="1431" w:right="0" w:bottom="1157" w:left="967" w:header="0" w:footer="992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902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902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IwZmY0ZjFlMzc2NDczMmM4MmNjMGRhNDNiN2ZlOTkifQ=="/>
  </w:docVars>
  <w:rsids>
    <w:rsidRoot w:val="00000000"/>
    <w:rsid w:val="1F495C2E"/>
    <w:rsid w:val="79DF050F"/>
    <w:rsid w:val="FD1E8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2024-07-24T22:03:00Z</dcterms:created>
  <dc:creator>Kingsoft-PDF</dc:creator>
  <cp:lastModifiedBy>Faye</cp:lastModifiedBy>
  <dcterms:modified xsi:type="dcterms:W3CDTF">2024-07-25T00:22:02Z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2024-07-24T14:03:33Z</vt:filetime>
  </property>
  <property fmtid="{D5CDD505-2E9C-101B-9397-08002B2CF9AE}" pid="4" name="UsrData">
    <vt:lpwstr>66a09934180b0e001fefca23wl</vt:lpwstr>
  </property>
  <property fmtid="{D5CDD505-2E9C-101B-9397-08002B2CF9AE}" pid="5" name="KSOProductBuildVer">
    <vt:lpwstr>2052-12.1.0.16120</vt:lpwstr>
  </property>
  <property fmtid="{D5CDD505-2E9C-101B-9397-08002B2CF9AE}" pid="6" name="ICV">
    <vt:lpwstr>3787BF1C8EA944A89F76334DDC8193DC_13</vt:lpwstr>
  </property>
</Properties>
</file>