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3F" w:rsidRPr="00FC383F" w:rsidRDefault="00FC383F" w:rsidP="00FC383F">
      <w:pPr>
        <w:widowControl/>
        <w:spacing w:before="100" w:beforeAutospacing="1" w:after="100" w:afterAutospacing="1"/>
        <w:jc w:val="center"/>
        <w:rPr>
          <w:rFonts w:ascii="宋体" w:hAnsi="宋体" w:cs="宋体"/>
          <w:kern w:val="0"/>
          <w:sz w:val="24"/>
        </w:rPr>
      </w:pPr>
      <w:r w:rsidRPr="00FC383F">
        <w:rPr>
          <w:rFonts w:ascii="宋体" w:hAnsi="宋体" w:hint="eastAsia"/>
          <w:b/>
          <w:bCs/>
          <w:kern w:val="0"/>
          <w:sz w:val="54"/>
          <w:szCs w:val="54"/>
        </w:rPr>
        <w:t>上海工商职业技术学院</w:t>
      </w:r>
    </w:p>
    <w:p w:rsidR="00FC383F" w:rsidRPr="00FC383F" w:rsidRDefault="00FC383F" w:rsidP="00FC383F">
      <w:pPr>
        <w:widowControl/>
        <w:spacing w:before="100" w:beforeAutospacing="1" w:after="100" w:afterAutospacing="1"/>
        <w:jc w:val="center"/>
        <w:rPr>
          <w:rFonts w:ascii="宋体" w:hAnsi="宋体" w:cs="宋体"/>
          <w:kern w:val="0"/>
          <w:sz w:val="24"/>
        </w:rPr>
      </w:pPr>
      <w:r w:rsidRPr="00FC383F">
        <w:rPr>
          <w:rFonts w:ascii="宋体" w:hAnsi="宋体" w:hint="eastAsia"/>
          <w:b/>
          <w:bCs/>
          <w:kern w:val="0"/>
          <w:sz w:val="54"/>
          <w:szCs w:val="54"/>
        </w:rPr>
        <w:t>IT运维驻场服务项目招标公告</w:t>
      </w:r>
    </w:p>
    <w:p w:rsidR="00FC383F" w:rsidRPr="00FC383F" w:rsidRDefault="00FC383F" w:rsidP="00FC383F">
      <w:pPr>
        <w:widowControl/>
        <w:spacing w:before="100" w:beforeAutospacing="1" w:after="100" w:afterAutospacing="1"/>
        <w:rPr>
          <w:rFonts w:ascii="宋体" w:hAnsi="宋体" w:cs="宋体"/>
          <w:kern w:val="0"/>
          <w:sz w:val="24"/>
        </w:rPr>
      </w:pPr>
    </w:p>
    <w:p w:rsidR="00FC383F" w:rsidRPr="00FC383F" w:rsidRDefault="00FC383F" w:rsidP="00FC383F">
      <w:pPr>
        <w:widowControl/>
        <w:spacing w:before="100" w:beforeAutospacing="1" w:after="100" w:afterAutospacing="1"/>
        <w:jc w:val="center"/>
        <w:rPr>
          <w:rFonts w:ascii="宋体" w:hAnsi="宋体" w:cs="宋体"/>
          <w:kern w:val="0"/>
          <w:sz w:val="24"/>
        </w:rPr>
      </w:pPr>
      <w:r w:rsidRPr="00FC383F">
        <w:rPr>
          <w:rFonts w:ascii="宋体" w:hAnsi="宋体" w:hint="eastAsia"/>
          <w:kern w:val="0"/>
          <w:sz w:val="24"/>
        </w:rPr>
        <w:t>招标编号：GS-2020 -19</w:t>
      </w:r>
    </w:p>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各公司厂商：</w:t>
      </w:r>
    </w:p>
    <w:p w:rsidR="00FC383F" w:rsidRPr="00FC383F" w:rsidRDefault="00FC383F" w:rsidP="00FC383F">
      <w:pPr>
        <w:widowControl/>
        <w:spacing w:before="100" w:beforeAutospacing="1" w:after="100" w:afterAutospacing="1"/>
        <w:rPr>
          <w:rFonts w:ascii="宋体" w:hAnsi="宋体" w:cs="宋体"/>
          <w:kern w:val="0"/>
          <w:sz w:val="24"/>
        </w:rPr>
      </w:pPr>
      <w:r w:rsidRPr="00FC383F">
        <w:rPr>
          <w:kern w:val="0"/>
          <w:sz w:val="24"/>
        </w:rPr>
        <w:t>   </w:t>
      </w:r>
      <w:r w:rsidRPr="00FC383F">
        <w:rPr>
          <w:kern w:val="0"/>
          <w:sz w:val="24"/>
        </w:rPr>
        <w:t xml:space="preserve">　　</w:t>
      </w:r>
      <w:r w:rsidRPr="00FC383F">
        <w:rPr>
          <w:rFonts w:ascii="宋体" w:hAnsi="宋体" w:hint="eastAsia"/>
          <w:kern w:val="0"/>
          <w:sz w:val="24"/>
        </w:rPr>
        <w:t>根据《中华人民共和国招标投标法》及有关法律法规和规章规定，上海工商职业技术学院就IT运维驻场项目进行公开招标采购，欢迎具有资质和能力的单位前来投标。</w:t>
      </w:r>
    </w:p>
    <w:p w:rsidR="00FC383F" w:rsidRPr="00FC383F" w:rsidRDefault="00FC383F" w:rsidP="00FC383F">
      <w:pPr>
        <w:widowControl/>
        <w:spacing w:before="100" w:beforeAutospacing="1" w:after="100" w:afterAutospacing="1"/>
        <w:rPr>
          <w:rFonts w:ascii="宋体" w:hAnsi="宋体" w:cs="宋体"/>
          <w:kern w:val="0"/>
          <w:sz w:val="24"/>
        </w:rPr>
      </w:pPr>
      <w:r w:rsidRPr="00FC383F">
        <w:rPr>
          <w:kern w:val="0"/>
          <w:sz w:val="24"/>
        </w:rPr>
        <w:t xml:space="preserve">    </w:t>
      </w:r>
      <w:r w:rsidRPr="00FC383F">
        <w:rPr>
          <w:rFonts w:ascii="宋体" w:hAnsi="宋体" w:hint="eastAsia"/>
          <w:kern w:val="0"/>
          <w:sz w:val="24"/>
        </w:rPr>
        <w:t>一、服务项目</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1.项目名称：上海工商职业技术学院IT运维驻场服务采购项目</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2.招标内容</w:t>
      </w:r>
    </w:p>
    <w:tbl>
      <w:tblPr>
        <w:tblW w:w="7890" w:type="dxa"/>
        <w:jc w:val="center"/>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1268"/>
        <w:gridCol w:w="6622"/>
      </w:tblGrid>
      <w:tr w:rsidR="00FC383F" w:rsidRPr="00FC383F" w:rsidTr="00FC383F">
        <w:trPr>
          <w:jc w:val="center"/>
        </w:trPr>
        <w:tc>
          <w:tcPr>
            <w:tcW w:w="1268" w:type="dxa"/>
            <w:tcBorders>
              <w:top w:val="outset" w:sz="8" w:space="0" w:color="000000"/>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jc w:val="center"/>
              <w:rPr>
                <w:rFonts w:ascii="宋体" w:hAnsi="宋体" w:cs="宋体"/>
                <w:kern w:val="0"/>
                <w:sz w:val="24"/>
              </w:rPr>
            </w:pPr>
            <w:r w:rsidRPr="00FC383F">
              <w:rPr>
                <w:rFonts w:ascii="宋体" w:hAnsi="宋体" w:hint="eastAsia"/>
                <w:b/>
                <w:bCs/>
                <w:kern w:val="0"/>
                <w:sz w:val="24"/>
              </w:rPr>
              <w:t>服务名称</w:t>
            </w:r>
          </w:p>
        </w:tc>
        <w:tc>
          <w:tcPr>
            <w:tcW w:w="6621" w:type="dxa"/>
            <w:tcBorders>
              <w:top w:val="outset" w:sz="8" w:space="0" w:color="000000"/>
              <w:left w:val="nil"/>
              <w:bottom w:val="outset" w:sz="8" w:space="0" w:color="000000"/>
              <w:right w:val="outset" w:sz="8" w:space="0" w:color="000000"/>
            </w:tcBorders>
            <w:shd w:val="clear" w:color="auto" w:fill="FFFFFF"/>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jc w:val="center"/>
              <w:rPr>
                <w:rFonts w:ascii="宋体" w:hAnsi="宋体" w:cs="宋体"/>
                <w:kern w:val="0"/>
                <w:sz w:val="24"/>
              </w:rPr>
            </w:pPr>
            <w:r w:rsidRPr="00FC383F">
              <w:rPr>
                <w:rFonts w:ascii="宋体" w:hAnsi="宋体" w:hint="eastAsia"/>
                <w:b/>
                <w:bCs/>
                <w:kern w:val="0"/>
                <w:sz w:val="24"/>
              </w:rPr>
              <w:t>服务描述</w:t>
            </w:r>
          </w:p>
        </w:tc>
      </w:tr>
      <w:tr w:rsidR="00FC383F" w:rsidRPr="00FC383F" w:rsidTr="00FC383F">
        <w:trPr>
          <w:jc w:val="center"/>
        </w:trPr>
        <w:tc>
          <w:tcPr>
            <w:tcW w:w="1268" w:type="dxa"/>
            <w:vMerge w:val="restart"/>
            <w:tcBorders>
              <w:top w:val="nil"/>
              <w:left w:val="outset" w:sz="8" w:space="0" w:color="000000"/>
              <w:bottom w:val="nil"/>
              <w:right w:val="outset" w:sz="8" w:space="0" w:color="000000"/>
            </w:tcBorders>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rPr>
                <w:rFonts w:ascii="宋体" w:hAnsi="宋体" w:cs="宋体"/>
                <w:kern w:val="0"/>
                <w:sz w:val="24"/>
              </w:rPr>
            </w:pPr>
          </w:p>
          <w:p w:rsidR="00FC383F" w:rsidRPr="00FC383F" w:rsidRDefault="00FC383F" w:rsidP="00FC383F">
            <w:pPr>
              <w:widowControl/>
              <w:spacing w:before="100" w:beforeAutospacing="1" w:after="100" w:afterAutospacing="1"/>
              <w:rPr>
                <w:rFonts w:ascii="宋体" w:hAnsi="宋体" w:cs="宋体"/>
                <w:kern w:val="0"/>
                <w:sz w:val="24"/>
              </w:rPr>
            </w:pPr>
          </w:p>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运维驻场</w:t>
            </w:r>
          </w:p>
        </w:tc>
        <w:tc>
          <w:tcPr>
            <w:tcW w:w="6621"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工程师驻场（不少于1人）</w:t>
            </w:r>
          </w:p>
        </w:tc>
      </w:tr>
      <w:tr w:rsidR="00FC383F" w:rsidRPr="00FC383F" w:rsidTr="00FC383F">
        <w:trPr>
          <w:jc w:val="center"/>
        </w:trPr>
        <w:tc>
          <w:tcPr>
            <w:tcW w:w="0" w:type="auto"/>
            <w:vMerge/>
            <w:tcBorders>
              <w:top w:val="nil"/>
              <w:left w:val="outset" w:sz="8" w:space="0" w:color="000000"/>
              <w:bottom w:val="nil"/>
              <w:right w:val="outset" w:sz="8" w:space="0" w:color="000000"/>
            </w:tcBorders>
            <w:vAlign w:val="center"/>
            <w:hideMark/>
          </w:tcPr>
          <w:p w:rsidR="00FC383F" w:rsidRPr="00FC383F" w:rsidRDefault="00FC383F" w:rsidP="00FC383F">
            <w:pPr>
              <w:widowControl/>
              <w:jc w:val="left"/>
              <w:rPr>
                <w:rFonts w:ascii="宋体" w:hAnsi="宋体" w:cs="宋体"/>
                <w:kern w:val="0"/>
                <w:sz w:val="24"/>
              </w:rPr>
            </w:pPr>
          </w:p>
        </w:tc>
        <w:tc>
          <w:tcPr>
            <w:tcW w:w="6621"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IT桌面技术支持</w:t>
            </w:r>
          </w:p>
        </w:tc>
      </w:tr>
      <w:tr w:rsidR="00FC383F" w:rsidRPr="00FC383F" w:rsidTr="00FC383F">
        <w:trPr>
          <w:jc w:val="center"/>
        </w:trPr>
        <w:tc>
          <w:tcPr>
            <w:tcW w:w="0" w:type="auto"/>
            <w:vMerge/>
            <w:tcBorders>
              <w:top w:val="nil"/>
              <w:left w:val="outset" w:sz="8" w:space="0" w:color="000000"/>
              <w:bottom w:val="nil"/>
              <w:right w:val="outset" w:sz="8" w:space="0" w:color="000000"/>
            </w:tcBorders>
            <w:vAlign w:val="center"/>
            <w:hideMark/>
          </w:tcPr>
          <w:p w:rsidR="00FC383F" w:rsidRPr="00FC383F" w:rsidRDefault="00FC383F" w:rsidP="00FC383F">
            <w:pPr>
              <w:widowControl/>
              <w:jc w:val="left"/>
              <w:rPr>
                <w:rFonts w:ascii="宋体" w:hAnsi="宋体" w:cs="宋体"/>
                <w:kern w:val="0"/>
                <w:sz w:val="24"/>
              </w:rPr>
            </w:pPr>
          </w:p>
        </w:tc>
        <w:tc>
          <w:tcPr>
            <w:tcW w:w="6621"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常规办公及业务系统的运维</w:t>
            </w:r>
          </w:p>
        </w:tc>
      </w:tr>
      <w:tr w:rsidR="00FC383F" w:rsidRPr="00FC383F" w:rsidTr="00FC383F">
        <w:trPr>
          <w:jc w:val="center"/>
        </w:trPr>
        <w:tc>
          <w:tcPr>
            <w:tcW w:w="0" w:type="auto"/>
            <w:vMerge/>
            <w:tcBorders>
              <w:top w:val="nil"/>
              <w:left w:val="outset" w:sz="8" w:space="0" w:color="000000"/>
              <w:bottom w:val="nil"/>
              <w:right w:val="outset" w:sz="8" w:space="0" w:color="000000"/>
            </w:tcBorders>
            <w:vAlign w:val="center"/>
            <w:hideMark/>
          </w:tcPr>
          <w:p w:rsidR="00FC383F" w:rsidRPr="00FC383F" w:rsidRDefault="00FC383F" w:rsidP="00FC383F">
            <w:pPr>
              <w:widowControl/>
              <w:jc w:val="left"/>
              <w:rPr>
                <w:rFonts w:ascii="宋体" w:hAnsi="宋体" w:cs="宋体"/>
                <w:kern w:val="0"/>
                <w:sz w:val="24"/>
              </w:rPr>
            </w:pPr>
          </w:p>
        </w:tc>
        <w:tc>
          <w:tcPr>
            <w:tcW w:w="6621"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数据中心运维</w:t>
            </w:r>
          </w:p>
        </w:tc>
      </w:tr>
      <w:tr w:rsidR="00FC383F" w:rsidRPr="00FC383F" w:rsidTr="00FC383F">
        <w:trPr>
          <w:jc w:val="center"/>
        </w:trPr>
        <w:tc>
          <w:tcPr>
            <w:tcW w:w="0" w:type="auto"/>
            <w:vMerge/>
            <w:tcBorders>
              <w:top w:val="nil"/>
              <w:left w:val="outset" w:sz="8" w:space="0" w:color="000000"/>
              <w:bottom w:val="nil"/>
              <w:right w:val="outset" w:sz="8" w:space="0" w:color="000000"/>
            </w:tcBorders>
            <w:vAlign w:val="center"/>
            <w:hideMark/>
          </w:tcPr>
          <w:p w:rsidR="00FC383F" w:rsidRPr="00FC383F" w:rsidRDefault="00FC383F" w:rsidP="00FC383F">
            <w:pPr>
              <w:widowControl/>
              <w:jc w:val="left"/>
              <w:rPr>
                <w:rFonts w:ascii="宋体" w:hAnsi="宋体" w:cs="宋体"/>
                <w:kern w:val="0"/>
                <w:sz w:val="24"/>
              </w:rPr>
            </w:pPr>
          </w:p>
        </w:tc>
        <w:tc>
          <w:tcPr>
            <w:tcW w:w="6621"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服务器</w:t>
            </w:r>
            <w:proofErr w:type="gramStart"/>
            <w:r w:rsidRPr="00FC383F">
              <w:rPr>
                <w:rFonts w:ascii="宋体" w:hAnsi="宋体" w:hint="eastAsia"/>
                <w:kern w:val="0"/>
                <w:sz w:val="24"/>
              </w:rPr>
              <w:t>虚拟化运维</w:t>
            </w:r>
            <w:proofErr w:type="gramEnd"/>
          </w:p>
        </w:tc>
      </w:tr>
      <w:tr w:rsidR="00FC383F" w:rsidRPr="00FC383F" w:rsidTr="00FC383F">
        <w:trPr>
          <w:jc w:val="center"/>
        </w:trPr>
        <w:tc>
          <w:tcPr>
            <w:tcW w:w="0" w:type="auto"/>
            <w:vMerge/>
            <w:tcBorders>
              <w:top w:val="nil"/>
              <w:left w:val="outset" w:sz="8" w:space="0" w:color="000000"/>
              <w:bottom w:val="nil"/>
              <w:right w:val="outset" w:sz="8" w:space="0" w:color="000000"/>
            </w:tcBorders>
            <w:vAlign w:val="center"/>
            <w:hideMark/>
          </w:tcPr>
          <w:p w:rsidR="00FC383F" w:rsidRPr="00FC383F" w:rsidRDefault="00FC383F" w:rsidP="00FC383F">
            <w:pPr>
              <w:widowControl/>
              <w:jc w:val="left"/>
              <w:rPr>
                <w:rFonts w:ascii="宋体" w:hAnsi="宋体" w:cs="宋体"/>
                <w:kern w:val="0"/>
                <w:sz w:val="24"/>
              </w:rPr>
            </w:pPr>
          </w:p>
        </w:tc>
        <w:tc>
          <w:tcPr>
            <w:tcW w:w="6621"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网络及安全设备运维</w:t>
            </w:r>
          </w:p>
        </w:tc>
      </w:tr>
      <w:tr w:rsidR="00FC383F" w:rsidRPr="00FC383F" w:rsidTr="00FC383F">
        <w:trPr>
          <w:jc w:val="center"/>
        </w:trPr>
        <w:tc>
          <w:tcPr>
            <w:tcW w:w="1268" w:type="dxa"/>
            <w:tcBorders>
              <w:top w:val="nil"/>
              <w:left w:val="outset" w:sz="8" w:space="0" w:color="000000"/>
              <w:bottom w:val="outset" w:sz="8" w:space="0" w:color="000000"/>
              <w:right w:val="outset" w:sz="8" w:space="0" w:color="000000"/>
            </w:tcBorders>
            <w:shd w:val="clear" w:color="auto" w:fill="FFFFFF"/>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rPr>
                <w:rFonts w:ascii="宋体" w:hAnsi="宋体" w:cs="宋体"/>
                <w:kern w:val="0"/>
                <w:sz w:val="24"/>
              </w:rPr>
            </w:pPr>
          </w:p>
        </w:tc>
        <w:tc>
          <w:tcPr>
            <w:tcW w:w="6621" w:type="dxa"/>
            <w:tcBorders>
              <w:top w:val="nil"/>
              <w:left w:val="nil"/>
              <w:bottom w:val="outset" w:sz="8" w:space="0" w:color="000000"/>
              <w:right w:val="outset" w:sz="8" w:space="0" w:color="000000"/>
            </w:tcBorders>
            <w:tcMar>
              <w:top w:w="0" w:type="dxa"/>
              <w:left w:w="0" w:type="dxa"/>
              <w:bottom w:w="0" w:type="dxa"/>
              <w:right w:w="0" w:type="dxa"/>
            </w:tcMar>
            <w:vAlign w:val="center"/>
            <w:hideMark/>
          </w:tcPr>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服务团队还应具备可预见的扩展能力，数年后依旧能够满足用户对服务能力的需求</w:t>
            </w:r>
          </w:p>
        </w:tc>
      </w:tr>
    </w:tbl>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3.项目技术需求</w:t>
      </w:r>
    </w:p>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（1）现状调研和需求分析</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需要对学院的IT桌面支持及数据中心以及网络安全现状进行实地调研和分析，并对现有人员和系统需求进行梳理，输出相应文件。工作内容包括但不限于：</w:t>
      </w:r>
    </w:p>
    <w:p w:rsidR="00FC383F" w:rsidRPr="00FC383F" w:rsidRDefault="00FC383F" w:rsidP="00FC383F">
      <w:pPr>
        <w:widowControl/>
        <w:numPr>
          <w:ilvl w:val="0"/>
          <w:numId w:val="6"/>
        </w:numPr>
        <w:spacing w:before="100" w:beforeAutospacing="1" w:after="100" w:afterAutospacing="1"/>
        <w:rPr>
          <w:rFonts w:ascii="宋体" w:hAnsi="宋体" w:cs="宋体"/>
          <w:kern w:val="0"/>
          <w:sz w:val="24"/>
        </w:rPr>
      </w:pPr>
      <w:r w:rsidRPr="00FC383F">
        <w:rPr>
          <w:rFonts w:ascii="宋体" w:hAnsi="宋体" w:hint="eastAsia"/>
          <w:kern w:val="0"/>
          <w:sz w:val="24"/>
        </w:rPr>
        <w:t>调研学院主要的办公环境；</w:t>
      </w:r>
    </w:p>
    <w:p w:rsidR="00FC383F" w:rsidRPr="00FC383F" w:rsidRDefault="00FC383F" w:rsidP="00FC383F">
      <w:pPr>
        <w:widowControl/>
        <w:numPr>
          <w:ilvl w:val="0"/>
          <w:numId w:val="6"/>
        </w:numPr>
        <w:spacing w:before="100" w:beforeAutospacing="1" w:after="100" w:afterAutospacing="1"/>
        <w:rPr>
          <w:rFonts w:ascii="宋体" w:hAnsi="宋体" w:cs="宋体"/>
          <w:kern w:val="0"/>
          <w:sz w:val="24"/>
        </w:rPr>
      </w:pPr>
      <w:r w:rsidRPr="00FC383F">
        <w:rPr>
          <w:rFonts w:ascii="宋体" w:hAnsi="宋体" w:hint="eastAsia"/>
          <w:kern w:val="0"/>
          <w:sz w:val="24"/>
        </w:rPr>
        <w:t>调研学院主要办公系统：</w:t>
      </w:r>
    </w:p>
    <w:p w:rsidR="00FC383F" w:rsidRPr="00FC383F" w:rsidRDefault="00FC383F" w:rsidP="00FC383F">
      <w:pPr>
        <w:widowControl/>
        <w:numPr>
          <w:ilvl w:val="0"/>
          <w:numId w:val="6"/>
        </w:numPr>
        <w:spacing w:before="100" w:beforeAutospacing="1" w:after="100" w:afterAutospacing="1"/>
        <w:rPr>
          <w:rFonts w:ascii="宋体" w:hAnsi="宋体" w:cs="宋体"/>
          <w:kern w:val="0"/>
          <w:sz w:val="24"/>
        </w:rPr>
      </w:pPr>
      <w:r w:rsidRPr="00FC383F">
        <w:rPr>
          <w:rFonts w:ascii="宋体" w:hAnsi="宋体" w:hint="eastAsia"/>
          <w:kern w:val="0"/>
          <w:sz w:val="24"/>
        </w:rPr>
        <w:t>调研学院主要业务系统：</w:t>
      </w:r>
    </w:p>
    <w:p w:rsidR="00FC383F" w:rsidRPr="00FC383F" w:rsidRDefault="00FC383F" w:rsidP="00FC383F">
      <w:pPr>
        <w:widowControl/>
        <w:numPr>
          <w:ilvl w:val="0"/>
          <w:numId w:val="6"/>
        </w:numPr>
        <w:spacing w:before="100" w:beforeAutospacing="1" w:after="100" w:afterAutospacing="1"/>
        <w:rPr>
          <w:rFonts w:ascii="宋体" w:hAnsi="宋体" w:cs="宋体"/>
          <w:kern w:val="0"/>
          <w:sz w:val="24"/>
        </w:rPr>
      </w:pPr>
      <w:r w:rsidRPr="00FC383F">
        <w:rPr>
          <w:rFonts w:ascii="宋体" w:hAnsi="宋体" w:hint="eastAsia"/>
          <w:kern w:val="0"/>
          <w:sz w:val="24"/>
        </w:rPr>
        <w:t>调研学院数据中心现状：</w:t>
      </w:r>
    </w:p>
    <w:p w:rsidR="00FC383F" w:rsidRPr="00FC383F" w:rsidRDefault="00FC383F" w:rsidP="00FC383F">
      <w:pPr>
        <w:widowControl/>
        <w:numPr>
          <w:ilvl w:val="0"/>
          <w:numId w:val="6"/>
        </w:numPr>
        <w:spacing w:before="100" w:beforeAutospacing="1" w:after="100" w:afterAutospacing="1"/>
        <w:rPr>
          <w:rFonts w:ascii="宋体" w:hAnsi="宋体" w:cs="宋体"/>
          <w:kern w:val="0"/>
          <w:sz w:val="24"/>
        </w:rPr>
      </w:pPr>
      <w:r w:rsidRPr="00FC383F">
        <w:rPr>
          <w:rFonts w:ascii="宋体" w:hAnsi="宋体" w:hint="eastAsia"/>
          <w:kern w:val="0"/>
          <w:sz w:val="24"/>
        </w:rPr>
        <w:lastRenderedPageBreak/>
        <w:t>对IT桌面、数据中心及安全支持需求进行分析；</w:t>
      </w:r>
    </w:p>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（2）知识转移和交付</w:t>
      </w:r>
    </w:p>
    <w:p w:rsidR="00FC383F" w:rsidRPr="00FC383F" w:rsidRDefault="00FC383F" w:rsidP="00FC383F">
      <w:pPr>
        <w:widowControl/>
        <w:spacing w:before="100" w:beforeAutospacing="1" w:after="100" w:afterAutospacing="1"/>
        <w:ind w:firstLine="661"/>
        <w:rPr>
          <w:rFonts w:ascii="宋体" w:hAnsi="宋体" w:cs="宋体"/>
          <w:kern w:val="0"/>
          <w:sz w:val="24"/>
        </w:rPr>
      </w:pPr>
      <w:r w:rsidRPr="00FC383F">
        <w:rPr>
          <w:rFonts w:ascii="宋体" w:hAnsi="宋体" w:hint="eastAsia"/>
          <w:kern w:val="0"/>
          <w:sz w:val="24"/>
        </w:rPr>
        <w:t>投标人需要在本次项目调研完成的基础上，组织学院运</w:t>
      </w:r>
      <w:proofErr w:type="gramStart"/>
      <w:r w:rsidRPr="00FC383F">
        <w:rPr>
          <w:rFonts w:ascii="宋体" w:hAnsi="宋体" w:hint="eastAsia"/>
          <w:kern w:val="0"/>
          <w:sz w:val="24"/>
        </w:rPr>
        <w:t>维人员</w:t>
      </w:r>
      <w:proofErr w:type="gramEnd"/>
      <w:r w:rsidRPr="00FC383F">
        <w:rPr>
          <w:rFonts w:ascii="宋体" w:hAnsi="宋体" w:hint="eastAsia"/>
          <w:kern w:val="0"/>
          <w:sz w:val="24"/>
        </w:rPr>
        <w:t>进行方案及文档交付，并输出相应文件。包括但不限于如下内容：</w:t>
      </w:r>
    </w:p>
    <w:p w:rsidR="00FC383F" w:rsidRPr="00FC383F" w:rsidRDefault="00FC383F" w:rsidP="00FC383F">
      <w:pPr>
        <w:widowControl/>
        <w:numPr>
          <w:ilvl w:val="0"/>
          <w:numId w:val="7"/>
        </w:numPr>
        <w:spacing w:before="100" w:beforeAutospacing="1" w:after="100" w:afterAutospacing="1"/>
        <w:jc w:val="left"/>
        <w:rPr>
          <w:rFonts w:ascii="宋体" w:hAnsi="宋体" w:cs="宋体"/>
          <w:kern w:val="0"/>
          <w:sz w:val="24"/>
        </w:rPr>
      </w:pPr>
      <w:r w:rsidRPr="00FC383F">
        <w:rPr>
          <w:rFonts w:ascii="宋体" w:hAnsi="宋体" w:cs="宋体" w:hint="eastAsia"/>
          <w:kern w:val="0"/>
          <w:sz w:val="24"/>
        </w:rPr>
        <w:t>技术交底与知识转移培训；</w:t>
      </w:r>
    </w:p>
    <w:p w:rsidR="00FC383F" w:rsidRPr="00FC383F" w:rsidRDefault="00FC383F" w:rsidP="00FC383F">
      <w:pPr>
        <w:widowControl/>
        <w:numPr>
          <w:ilvl w:val="0"/>
          <w:numId w:val="7"/>
        </w:numPr>
        <w:spacing w:before="100" w:beforeAutospacing="1" w:after="100" w:afterAutospacing="1"/>
        <w:jc w:val="left"/>
        <w:rPr>
          <w:rFonts w:ascii="宋体" w:hAnsi="宋体" w:cs="宋体"/>
          <w:kern w:val="0"/>
          <w:sz w:val="24"/>
        </w:rPr>
      </w:pPr>
      <w:r w:rsidRPr="00FC383F">
        <w:rPr>
          <w:rFonts w:ascii="宋体" w:hAnsi="宋体" w:cs="宋体" w:hint="eastAsia"/>
          <w:kern w:val="0"/>
          <w:sz w:val="24"/>
        </w:rPr>
        <w:t>相关制度、操作规范、表单流程、技术文件等交付。</w:t>
      </w:r>
    </w:p>
    <w:p w:rsidR="00FC383F" w:rsidRPr="00FC383F" w:rsidRDefault="00FC383F" w:rsidP="00FC383F">
      <w:pPr>
        <w:widowControl/>
        <w:numPr>
          <w:ilvl w:val="0"/>
          <w:numId w:val="8"/>
        </w:numPr>
        <w:spacing w:before="100" w:beforeAutospacing="1" w:after="100" w:afterAutospacing="1"/>
        <w:jc w:val="left"/>
        <w:rPr>
          <w:rFonts w:ascii="宋体" w:hAnsi="宋体" w:cs="宋体"/>
          <w:kern w:val="0"/>
          <w:sz w:val="24"/>
        </w:rPr>
      </w:pPr>
      <w:r w:rsidRPr="00FC383F">
        <w:rPr>
          <w:rFonts w:ascii="宋体" w:hAnsi="宋体" w:cs="宋体" w:hint="eastAsia"/>
          <w:kern w:val="0"/>
          <w:sz w:val="24"/>
        </w:rPr>
        <w:t>《IT桌面支持现状调研及需求分析报告》</w:t>
      </w:r>
    </w:p>
    <w:p w:rsidR="00FC383F" w:rsidRPr="00FC383F" w:rsidRDefault="00FC383F" w:rsidP="00FC383F">
      <w:pPr>
        <w:widowControl/>
        <w:numPr>
          <w:ilvl w:val="0"/>
          <w:numId w:val="8"/>
        </w:numPr>
        <w:spacing w:before="100" w:beforeAutospacing="1" w:after="100" w:afterAutospacing="1"/>
        <w:jc w:val="left"/>
        <w:rPr>
          <w:rFonts w:ascii="宋体" w:hAnsi="宋体" w:cs="宋体"/>
          <w:kern w:val="0"/>
          <w:sz w:val="24"/>
        </w:rPr>
      </w:pPr>
      <w:r w:rsidRPr="00FC383F">
        <w:rPr>
          <w:rFonts w:ascii="宋体" w:hAnsi="宋体" w:cs="宋体" w:hint="eastAsia"/>
          <w:kern w:val="0"/>
          <w:sz w:val="24"/>
        </w:rPr>
        <w:t>《服务人员管理制度》</w:t>
      </w:r>
    </w:p>
    <w:p w:rsidR="00FC383F" w:rsidRPr="00FC383F" w:rsidRDefault="00FC383F" w:rsidP="00FC383F">
      <w:pPr>
        <w:widowControl/>
        <w:numPr>
          <w:ilvl w:val="0"/>
          <w:numId w:val="8"/>
        </w:numPr>
        <w:spacing w:before="100" w:beforeAutospacing="1" w:after="100" w:afterAutospacing="1"/>
        <w:jc w:val="left"/>
        <w:rPr>
          <w:rFonts w:ascii="宋体" w:hAnsi="宋体" w:cs="宋体"/>
          <w:kern w:val="0"/>
          <w:sz w:val="24"/>
        </w:rPr>
      </w:pPr>
      <w:r w:rsidRPr="00FC383F">
        <w:rPr>
          <w:rFonts w:ascii="宋体" w:hAnsi="宋体" w:cs="宋体" w:hint="eastAsia"/>
          <w:kern w:val="0"/>
          <w:sz w:val="24"/>
        </w:rPr>
        <w:t>《系统运维手册》</w:t>
      </w:r>
    </w:p>
    <w:p w:rsidR="00FC383F" w:rsidRPr="00FC383F" w:rsidRDefault="00FC383F" w:rsidP="00FC383F">
      <w:pPr>
        <w:widowControl/>
        <w:numPr>
          <w:ilvl w:val="0"/>
          <w:numId w:val="8"/>
        </w:numPr>
        <w:spacing w:before="100" w:beforeAutospacing="1" w:after="100" w:afterAutospacing="1"/>
        <w:jc w:val="left"/>
        <w:rPr>
          <w:rFonts w:ascii="宋体" w:hAnsi="宋体" w:cs="宋体"/>
          <w:kern w:val="0"/>
          <w:sz w:val="24"/>
        </w:rPr>
      </w:pPr>
      <w:r w:rsidRPr="00FC383F">
        <w:rPr>
          <w:rFonts w:ascii="宋体" w:hAnsi="宋体" w:cs="宋体" w:hint="eastAsia"/>
          <w:kern w:val="0"/>
          <w:sz w:val="24"/>
        </w:rPr>
        <w:t>《机房巡检报告》</w:t>
      </w:r>
    </w:p>
    <w:p w:rsidR="00FC383F" w:rsidRPr="00FC383F" w:rsidRDefault="00FC383F" w:rsidP="00FC383F">
      <w:pPr>
        <w:widowControl/>
        <w:spacing w:before="100" w:beforeAutospacing="1" w:after="100" w:afterAutospacing="1"/>
        <w:ind w:firstLine="566"/>
        <w:rPr>
          <w:rFonts w:ascii="宋体" w:hAnsi="宋体" w:cs="宋体"/>
          <w:kern w:val="0"/>
          <w:sz w:val="24"/>
        </w:rPr>
      </w:pPr>
      <w:r w:rsidRPr="00FC383F">
        <w:rPr>
          <w:rFonts w:ascii="宋体" w:hAnsi="宋体" w:hint="eastAsia"/>
          <w:kern w:val="0"/>
          <w:sz w:val="24"/>
        </w:rPr>
        <w:t>文档内容需要涵盖并且不限于项目工作内容中所列全部项。</w:t>
      </w:r>
    </w:p>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hint="eastAsia"/>
          <w:kern w:val="0"/>
          <w:sz w:val="24"/>
        </w:rPr>
        <w:t>（3）IT支持及运维服务</w:t>
      </w:r>
    </w:p>
    <w:p w:rsidR="00FC383F" w:rsidRPr="00FC383F" w:rsidRDefault="00FC383F" w:rsidP="00FC383F">
      <w:pPr>
        <w:widowControl/>
        <w:spacing w:before="100" w:beforeAutospacing="1" w:after="100" w:afterAutospacing="1"/>
        <w:ind w:firstLine="661"/>
        <w:rPr>
          <w:rFonts w:ascii="宋体" w:hAnsi="宋体" w:cs="宋体"/>
          <w:kern w:val="0"/>
          <w:sz w:val="24"/>
        </w:rPr>
      </w:pPr>
      <w:r w:rsidRPr="00FC383F">
        <w:rPr>
          <w:rFonts w:ascii="宋体" w:hAnsi="宋体" w:hint="eastAsia"/>
          <w:kern w:val="0"/>
          <w:sz w:val="24"/>
        </w:rPr>
        <w:t>投标人需要为学院提供不少于1名运</w:t>
      </w:r>
      <w:proofErr w:type="gramStart"/>
      <w:r w:rsidRPr="00FC383F">
        <w:rPr>
          <w:rFonts w:ascii="宋体" w:hAnsi="宋体" w:hint="eastAsia"/>
          <w:kern w:val="0"/>
          <w:sz w:val="24"/>
        </w:rPr>
        <w:t>维人员</w:t>
      </w:r>
      <w:proofErr w:type="gramEnd"/>
      <w:r w:rsidRPr="00FC383F">
        <w:rPr>
          <w:rFonts w:ascii="宋体" w:hAnsi="宋体" w:hint="eastAsia"/>
          <w:kern w:val="0"/>
          <w:sz w:val="24"/>
        </w:rPr>
        <w:t>做日常的技术支持服务。包括但不限于如下内容：</w:t>
      </w:r>
    </w:p>
    <w:p w:rsidR="00FC383F" w:rsidRPr="00FC383F" w:rsidRDefault="00FC383F" w:rsidP="00FC383F">
      <w:pPr>
        <w:widowControl/>
        <w:numPr>
          <w:ilvl w:val="0"/>
          <w:numId w:val="9"/>
        </w:numPr>
        <w:spacing w:before="100" w:beforeAutospacing="1" w:after="100" w:afterAutospacing="1"/>
        <w:rPr>
          <w:rFonts w:ascii="宋体" w:hAnsi="宋体" w:cs="宋体"/>
          <w:kern w:val="0"/>
          <w:sz w:val="24"/>
        </w:rPr>
      </w:pPr>
      <w:r w:rsidRPr="00FC383F">
        <w:rPr>
          <w:rFonts w:ascii="宋体" w:hAnsi="宋体" w:cs="宋体" w:hint="eastAsia"/>
          <w:kern w:val="0"/>
          <w:sz w:val="24"/>
        </w:rPr>
        <w:t>每日1次系统巡检（办公系统、业务系统按巡检手册进行系统可用性及基础性能检查，确保系统处于正常工作状态）；</w:t>
      </w:r>
    </w:p>
    <w:p w:rsidR="00FC383F" w:rsidRPr="00FC383F" w:rsidRDefault="00FC383F" w:rsidP="00FC383F">
      <w:pPr>
        <w:widowControl/>
        <w:numPr>
          <w:ilvl w:val="0"/>
          <w:numId w:val="9"/>
        </w:numPr>
        <w:spacing w:before="100" w:beforeAutospacing="1" w:after="100" w:afterAutospacing="1"/>
        <w:rPr>
          <w:rFonts w:ascii="宋体" w:hAnsi="宋体" w:cs="宋体"/>
          <w:kern w:val="0"/>
          <w:sz w:val="24"/>
        </w:rPr>
      </w:pPr>
      <w:r w:rsidRPr="00FC383F">
        <w:rPr>
          <w:rFonts w:ascii="宋体" w:hAnsi="宋体" w:cs="宋体" w:hint="eastAsia"/>
          <w:kern w:val="0"/>
          <w:sz w:val="24"/>
        </w:rPr>
        <w:t>用户桌面支持（用户软硬件问题排查及解决、专业软硬件对接供应商及客户端的安装及配合诊断）；</w:t>
      </w:r>
    </w:p>
    <w:p w:rsidR="00FC383F" w:rsidRPr="00FC383F" w:rsidRDefault="00FC383F" w:rsidP="00FC383F">
      <w:pPr>
        <w:widowControl/>
        <w:numPr>
          <w:ilvl w:val="0"/>
          <w:numId w:val="9"/>
        </w:numPr>
        <w:spacing w:before="100" w:beforeAutospacing="1" w:after="100" w:afterAutospacing="1"/>
        <w:rPr>
          <w:rFonts w:ascii="宋体" w:hAnsi="宋体" w:cs="宋体"/>
          <w:kern w:val="0"/>
          <w:sz w:val="24"/>
        </w:rPr>
      </w:pPr>
      <w:r w:rsidRPr="00FC383F">
        <w:rPr>
          <w:rFonts w:ascii="宋体" w:hAnsi="宋体" w:cs="宋体" w:hint="eastAsia"/>
          <w:kern w:val="0"/>
          <w:sz w:val="24"/>
        </w:rPr>
        <w:t>对于员工在工作中遇到的IT相关问题进行咨询、建议和答疑工作；</w:t>
      </w:r>
    </w:p>
    <w:p w:rsidR="00FC383F" w:rsidRPr="00FC383F" w:rsidRDefault="00FC383F" w:rsidP="00FC383F">
      <w:pPr>
        <w:widowControl/>
        <w:numPr>
          <w:ilvl w:val="0"/>
          <w:numId w:val="9"/>
        </w:numPr>
        <w:spacing w:before="100" w:beforeAutospacing="1" w:after="100" w:afterAutospacing="1"/>
        <w:rPr>
          <w:rFonts w:ascii="宋体" w:hAnsi="宋体" w:cs="宋体"/>
          <w:kern w:val="0"/>
          <w:sz w:val="24"/>
        </w:rPr>
      </w:pPr>
      <w:r w:rsidRPr="00FC383F">
        <w:rPr>
          <w:rFonts w:ascii="宋体" w:hAnsi="宋体" w:cs="宋体" w:hint="eastAsia"/>
          <w:kern w:val="0"/>
          <w:sz w:val="24"/>
        </w:rPr>
        <w:t>数据中心日常巡检及运维</w:t>
      </w:r>
    </w:p>
    <w:p w:rsidR="00FC383F" w:rsidRPr="00FC383F" w:rsidRDefault="00FC383F" w:rsidP="00FC383F">
      <w:pPr>
        <w:widowControl/>
        <w:numPr>
          <w:ilvl w:val="0"/>
          <w:numId w:val="9"/>
        </w:numPr>
        <w:spacing w:before="100" w:beforeAutospacing="1" w:after="100" w:afterAutospacing="1"/>
        <w:rPr>
          <w:rFonts w:ascii="宋体" w:hAnsi="宋体" w:cs="宋体"/>
          <w:kern w:val="0"/>
          <w:sz w:val="24"/>
        </w:rPr>
      </w:pPr>
      <w:r w:rsidRPr="00FC383F">
        <w:rPr>
          <w:rFonts w:ascii="宋体" w:hAnsi="宋体" w:cs="宋体" w:hint="eastAsia"/>
          <w:kern w:val="0"/>
          <w:sz w:val="24"/>
        </w:rPr>
        <w:t>网络</w:t>
      </w:r>
      <w:proofErr w:type="gramStart"/>
      <w:r w:rsidRPr="00FC383F">
        <w:rPr>
          <w:rFonts w:ascii="宋体" w:hAnsi="宋体" w:cs="宋体" w:hint="eastAsia"/>
          <w:kern w:val="0"/>
          <w:sz w:val="24"/>
        </w:rPr>
        <w:t>安全运</w:t>
      </w:r>
      <w:proofErr w:type="gramEnd"/>
      <w:r w:rsidRPr="00FC383F">
        <w:rPr>
          <w:rFonts w:ascii="宋体" w:hAnsi="宋体" w:cs="宋体" w:hint="eastAsia"/>
          <w:kern w:val="0"/>
          <w:sz w:val="24"/>
        </w:rPr>
        <w:t>维</w:t>
      </w:r>
    </w:p>
    <w:p w:rsidR="00FC383F" w:rsidRPr="00FC383F" w:rsidRDefault="00FC383F" w:rsidP="00FC383F">
      <w:pPr>
        <w:widowControl/>
        <w:numPr>
          <w:ilvl w:val="0"/>
          <w:numId w:val="9"/>
        </w:numPr>
        <w:spacing w:before="100" w:beforeAutospacing="1" w:after="100" w:afterAutospacing="1"/>
        <w:rPr>
          <w:rFonts w:ascii="宋体" w:hAnsi="宋体" w:cs="宋体"/>
          <w:kern w:val="0"/>
          <w:sz w:val="24"/>
        </w:rPr>
      </w:pPr>
      <w:r w:rsidRPr="00FC383F">
        <w:rPr>
          <w:rFonts w:ascii="宋体" w:hAnsi="宋体" w:cs="宋体" w:hint="eastAsia"/>
          <w:kern w:val="0"/>
          <w:sz w:val="24"/>
        </w:rPr>
        <w:t>IT管理制度配合制定</w:t>
      </w:r>
    </w:p>
    <w:p w:rsidR="00FC383F" w:rsidRPr="00FC383F" w:rsidRDefault="00FC383F" w:rsidP="00FC383F">
      <w:pPr>
        <w:widowControl/>
        <w:numPr>
          <w:ilvl w:val="0"/>
          <w:numId w:val="9"/>
        </w:numPr>
        <w:spacing w:before="100" w:beforeAutospacing="1" w:after="100" w:afterAutospacing="1"/>
        <w:rPr>
          <w:rFonts w:ascii="宋体" w:hAnsi="宋体" w:cs="宋体"/>
          <w:kern w:val="0"/>
          <w:sz w:val="24"/>
        </w:rPr>
      </w:pPr>
      <w:r w:rsidRPr="00FC383F">
        <w:rPr>
          <w:rFonts w:ascii="宋体" w:hAnsi="宋体" w:cs="宋体" w:hint="eastAsia"/>
          <w:kern w:val="0"/>
          <w:sz w:val="24"/>
        </w:rPr>
        <w:t>每日文档工作；</w:t>
      </w:r>
    </w:p>
    <w:p w:rsidR="00FC383F" w:rsidRPr="00FC383F" w:rsidRDefault="00FC383F" w:rsidP="00FC383F">
      <w:pPr>
        <w:widowControl/>
        <w:numPr>
          <w:ilvl w:val="0"/>
          <w:numId w:val="9"/>
        </w:numPr>
        <w:spacing w:before="100" w:beforeAutospacing="1" w:after="100" w:afterAutospacing="1"/>
        <w:rPr>
          <w:rFonts w:ascii="宋体" w:hAnsi="宋体" w:cs="宋体"/>
          <w:kern w:val="0"/>
          <w:sz w:val="24"/>
        </w:rPr>
      </w:pPr>
      <w:r w:rsidRPr="00FC383F">
        <w:rPr>
          <w:rFonts w:ascii="宋体" w:hAnsi="宋体" w:cs="宋体" w:hint="eastAsia"/>
          <w:kern w:val="0"/>
          <w:sz w:val="24"/>
        </w:rPr>
        <w:t>其他外部临时支持工作等。</w:t>
      </w:r>
    </w:p>
    <w:p w:rsidR="00FC383F" w:rsidRPr="00FC383F" w:rsidRDefault="00FC383F" w:rsidP="00FC383F">
      <w:pPr>
        <w:widowControl/>
        <w:spacing w:before="100" w:beforeAutospacing="1" w:after="100" w:afterAutospacing="1"/>
        <w:rPr>
          <w:rFonts w:ascii="宋体" w:hAnsi="宋体" w:cs="宋体"/>
          <w:kern w:val="0"/>
          <w:sz w:val="24"/>
        </w:rPr>
      </w:pPr>
      <w:r w:rsidRPr="00FC383F">
        <w:rPr>
          <w:rFonts w:ascii="宋体" w:hAnsi="宋体" w:cs="宋体" w:hint="eastAsia"/>
          <w:kern w:val="0"/>
          <w:sz w:val="24"/>
        </w:rPr>
        <w:t>（4）服务方式</w:t>
      </w:r>
    </w:p>
    <w:p w:rsidR="00FC383F" w:rsidRPr="00FC383F" w:rsidRDefault="00FC383F" w:rsidP="00FC383F">
      <w:pPr>
        <w:widowControl/>
        <w:spacing w:before="100" w:beforeAutospacing="1" w:after="100" w:afterAutospacing="1"/>
        <w:ind w:firstLine="661"/>
        <w:rPr>
          <w:rFonts w:ascii="宋体" w:hAnsi="宋体" w:cs="宋体"/>
          <w:kern w:val="0"/>
          <w:sz w:val="24"/>
        </w:rPr>
      </w:pPr>
      <w:r w:rsidRPr="00FC383F">
        <w:rPr>
          <w:rFonts w:ascii="宋体" w:hAnsi="宋体" w:hint="eastAsia"/>
          <w:kern w:val="0"/>
          <w:sz w:val="24"/>
        </w:rPr>
        <w:t>学院当前需要的IT支持及系统运维服务主要以不少于1位驻场工程师为主，同时辅助以适当的远程服务。</w:t>
      </w:r>
    </w:p>
    <w:p w:rsidR="00FC383F" w:rsidRPr="00FC383F" w:rsidRDefault="00FC383F" w:rsidP="00FC383F">
      <w:pPr>
        <w:widowControl/>
        <w:spacing w:before="100" w:beforeAutospacing="1" w:after="100" w:afterAutospacing="1"/>
        <w:ind w:firstLine="661"/>
        <w:rPr>
          <w:rFonts w:ascii="宋体" w:hAnsi="宋体" w:cs="宋体"/>
          <w:kern w:val="0"/>
          <w:sz w:val="24"/>
        </w:rPr>
      </w:pPr>
      <w:r w:rsidRPr="00FC383F">
        <w:rPr>
          <w:rFonts w:ascii="宋体" w:hAnsi="宋体" w:hint="eastAsia"/>
          <w:kern w:val="0"/>
          <w:sz w:val="24"/>
        </w:rPr>
        <w:t>为此，投标方需要有一线的驻场服务人员团队，也必须具备二线的具备完善技术服务能力的</w:t>
      </w:r>
      <w:proofErr w:type="gramStart"/>
      <w:r w:rsidRPr="00FC383F">
        <w:rPr>
          <w:rFonts w:ascii="宋体" w:hAnsi="宋体" w:hint="eastAsia"/>
          <w:kern w:val="0"/>
          <w:sz w:val="24"/>
        </w:rPr>
        <w:t>远程支持</w:t>
      </w:r>
      <w:proofErr w:type="gramEnd"/>
      <w:r w:rsidRPr="00FC383F">
        <w:rPr>
          <w:rFonts w:ascii="宋体" w:hAnsi="宋体" w:hint="eastAsia"/>
          <w:kern w:val="0"/>
          <w:sz w:val="24"/>
        </w:rPr>
        <w:t>服务团队，以满足用户办公及建立建设需求。</w:t>
      </w:r>
    </w:p>
    <w:p w:rsidR="00FC383F" w:rsidRPr="00FC383F" w:rsidRDefault="00FC383F" w:rsidP="00FC383F">
      <w:pPr>
        <w:widowControl/>
        <w:spacing w:before="100" w:beforeAutospacing="1" w:after="100" w:afterAutospacing="1"/>
        <w:ind w:firstLine="661"/>
        <w:rPr>
          <w:rFonts w:ascii="宋体" w:hAnsi="宋体" w:cs="宋体"/>
          <w:kern w:val="0"/>
          <w:sz w:val="24"/>
        </w:rPr>
      </w:pPr>
      <w:r w:rsidRPr="00FC383F">
        <w:rPr>
          <w:rFonts w:ascii="宋体" w:hAnsi="宋体" w:hint="eastAsia"/>
          <w:kern w:val="0"/>
          <w:sz w:val="24"/>
        </w:rPr>
        <w:t>投标方需具备提供5*8小时，7*8小时，7*24小时和不定时远程或上门服务的能力。</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二、投标方资质要求</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lastRenderedPageBreak/>
        <w:t>1.具有独立企业法人资格及相应经营范围，注册资金人民币500万元以上（含500万元）；</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2．如果供应商所提供的主要货物不是供应商自己制造的，供应商提供制造厂家的正式授权证明或提供合法获得该货物及售后服务支持的有效证明；</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3.具有维护、维修技术人员，能提供良好的技术支持和售后服务；</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注：可根据具体项目要求增加对投标方的资质要求。</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三、项目报价</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1.报价单位应根据项目需求的规定进行报价。</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2.进行的报价必须同时划定服务范围及服务方式人员天数等。</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四、项目时间</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中标厂商须在合同签约之日起3天内派出人员进行调研及进行为期一年的项目运维。</w:t>
      </w:r>
      <w:bookmarkStart w:id="0" w:name="_GoBack"/>
      <w:bookmarkEnd w:id="0"/>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五、验收方式</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项目运</w:t>
      </w:r>
      <w:proofErr w:type="gramStart"/>
      <w:r w:rsidRPr="00FC383F">
        <w:rPr>
          <w:rFonts w:ascii="宋体" w:hAnsi="宋体" w:hint="eastAsia"/>
          <w:kern w:val="0"/>
          <w:sz w:val="24"/>
        </w:rPr>
        <w:t>维时间</w:t>
      </w:r>
      <w:proofErr w:type="gramEnd"/>
      <w:r w:rsidRPr="00FC383F">
        <w:rPr>
          <w:rFonts w:ascii="宋体" w:hAnsi="宋体" w:hint="eastAsia"/>
          <w:kern w:val="0"/>
          <w:sz w:val="24"/>
        </w:rPr>
        <w:t>结束后，交付相应的年度运</w:t>
      </w:r>
      <w:proofErr w:type="gramStart"/>
      <w:r w:rsidRPr="00FC383F">
        <w:rPr>
          <w:rFonts w:ascii="宋体" w:hAnsi="宋体" w:hint="eastAsia"/>
          <w:kern w:val="0"/>
          <w:sz w:val="24"/>
        </w:rPr>
        <w:t>维报告</w:t>
      </w:r>
      <w:proofErr w:type="gramEnd"/>
      <w:r w:rsidRPr="00FC383F">
        <w:rPr>
          <w:rFonts w:ascii="宋体" w:hAnsi="宋体" w:hint="eastAsia"/>
          <w:kern w:val="0"/>
          <w:sz w:val="24"/>
        </w:rPr>
        <w:t>及对应的季度报告以及运</w:t>
      </w:r>
      <w:proofErr w:type="gramStart"/>
      <w:r w:rsidRPr="00FC383F">
        <w:rPr>
          <w:rFonts w:ascii="宋体" w:hAnsi="宋体" w:hint="eastAsia"/>
          <w:kern w:val="0"/>
          <w:sz w:val="24"/>
        </w:rPr>
        <w:t>维期间</w:t>
      </w:r>
      <w:proofErr w:type="gramEnd"/>
      <w:r w:rsidRPr="00FC383F">
        <w:rPr>
          <w:rFonts w:ascii="宋体" w:hAnsi="宋体" w:hint="eastAsia"/>
          <w:kern w:val="0"/>
          <w:sz w:val="24"/>
        </w:rPr>
        <w:t>形成的对应报告，提交验收报告，我方认为资料无误后签订验收报告。</w:t>
      </w:r>
    </w:p>
    <w:p w:rsidR="00FC383F" w:rsidRPr="00FC383F" w:rsidRDefault="00FC383F" w:rsidP="00FC383F">
      <w:pPr>
        <w:widowControl/>
        <w:numPr>
          <w:ilvl w:val="0"/>
          <w:numId w:val="10"/>
        </w:numPr>
        <w:spacing w:before="100" w:beforeAutospacing="1" w:after="100" w:afterAutospacing="1"/>
        <w:rPr>
          <w:rFonts w:ascii="宋体" w:hAnsi="宋体" w:cs="宋体"/>
          <w:kern w:val="0"/>
          <w:sz w:val="24"/>
        </w:rPr>
      </w:pPr>
      <w:r w:rsidRPr="00FC383F">
        <w:rPr>
          <w:rFonts w:ascii="宋体" w:hAnsi="宋体" w:hint="eastAsia"/>
          <w:kern w:val="0"/>
          <w:sz w:val="24"/>
        </w:rPr>
        <w:t>付款方式</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kern w:val="0"/>
          <w:sz w:val="24"/>
        </w:rPr>
        <w:t> </w:t>
      </w:r>
      <w:r w:rsidRPr="00FC383F">
        <w:rPr>
          <w:rFonts w:ascii="宋体" w:hAnsi="宋体" w:hint="eastAsia"/>
          <w:kern w:val="0"/>
          <w:sz w:val="24"/>
        </w:rPr>
        <w:t>第一次付款：合同签订后10个工作日内甲方向乙方支付合同费用的30%；</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第二次付款：合同签订后半年，甲方向乙方支付合同费用的60%；</w:t>
      </w:r>
    </w:p>
    <w:p w:rsidR="00FC383F" w:rsidRPr="00FC383F" w:rsidRDefault="00FC383F" w:rsidP="00FC383F">
      <w:pPr>
        <w:widowControl/>
        <w:spacing w:before="100" w:beforeAutospacing="1" w:after="100" w:afterAutospacing="1"/>
        <w:ind w:firstLine="560"/>
        <w:jc w:val="left"/>
        <w:rPr>
          <w:rFonts w:ascii="宋体" w:hAnsi="宋体" w:cs="宋体"/>
          <w:kern w:val="0"/>
          <w:sz w:val="24"/>
        </w:rPr>
      </w:pPr>
      <w:r w:rsidRPr="00FC383F">
        <w:rPr>
          <w:rFonts w:ascii="宋体" w:hAnsi="宋体" w:hint="eastAsia"/>
          <w:kern w:val="0"/>
          <w:sz w:val="24"/>
        </w:rPr>
        <w:t>第三次付款：合同执行至末期且乙方按进度如约履行相关义务时，甲方在合同到期前10个工作日内，全额合同尾款为合同金额的10%。      </w:t>
      </w:r>
    </w:p>
    <w:p w:rsidR="00FC383F" w:rsidRPr="00FC383F" w:rsidRDefault="00FC383F" w:rsidP="00FC383F">
      <w:pPr>
        <w:widowControl/>
        <w:spacing w:before="100" w:beforeAutospacing="1" w:after="100" w:afterAutospacing="1"/>
        <w:ind w:firstLine="560"/>
        <w:jc w:val="left"/>
        <w:rPr>
          <w:rFonts w:ascii="宋体" w:hAnsi="宋体" w:cs="宋体"/>
          <w:kern w:val="0"/>
          <w:sz w:val="24"/>
        </w:rPr>
      </w:pPr>
      <w:r w:rsidRPr="00FC383F">
        <w:rPr>
          <w:rFonts w:ascii="宋体" w:hAnsi="宋体" w:hint="eastAsia"/>
          <w:kern w:val="0"/>
          <w:sz w:val="24"/>
        </w:rPr>
        <w:t>七、质量保证与售后服务</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根据不同项目投标方提供质量保证和售后服务，投标方必须提交质保期结束后的售后服务方案。</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八、服务方式</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中标单位与上海工商职业技术学院按招标文件规定签订项目服务合同，合同生效中标单位安排人员开始驻场。</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九、投标书内容及要求</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lastRenderedPageBreak/>
        <w:t>投标单位提供加盖公章的投标书正本一份，副本二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sidRPr="00FC383F">
        <w:rPr>
          <w:rFonts w:ascii="宋体" w:hAnsi="宋体" w:hint="eastAsia"/>
          <w:kern w:val="0"/>
          <w:sz w:val="24"/>
        </w:rPr>
        <w:t>做废</w:t>
      </w:r>
      <w:proofErr w:type="gramEnd"/>
      <w:r w:rsidRPr="00FC383F">
        <w:rPr>
          <w:rFonts w:ascii="宋体" w:hAnsi="宋体" w:hint="eastAsia"/>
          <w:kern w:val="0"/>
          <w:sz w:val="24"/>
        </w:rPr>
        <w:t>标处理，并取消此单位的投标资格。</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如果投标文件通过邮寄递交，投标方应将投标文件用内、外两层信封密封，并在外层标明招标编号、投标货物名称、投标单位名称，投标书应包含以下内容：</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1.投标书、投标分项明细表。</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2.投标方资质文件、资格证明（法人代表授权书）、法人身份（正反面）证复印件、被授权人身份证（正反面）复印件、营业执照复印件、税务登记证明复印件、原生产厂商授权书正本及复印件等）、安全生产许可证。</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3.质量、服务保证承诺书、备品备件、易损、易耗件清单和价格表等。</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4. 技术服务与培训，履行合同所配备的管理、技术人员清单。</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十、投标截止时间</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投标单位请在2020年10月26日下午2：00前将标书送达上海工商职业技术学院设备管理处。</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地址：上海市嘉定区外冈</w:t>
      </w:r>
      <w:proofErr w:type="gramStart"/>
      <w:r w:rsidRPr="00FC383F">
        <w:rPr>
          <w:rFonts w:ascii="宋体" w:hAnsi="宋体" w:hint="eastAsia"/>
          <w:kern w:val="0"/>
          <w:sz w:val="24"/>
        </w:rPr>
        <w:t>镇恒荣路</w:t>
      </w:r>
      <w:proofErr w:type="gramEnd"/>
      <w:r w:rsidRPr="00FC383F">
        <w:rPr>
          <w:rFonts w:ascii="宋体" w:hAnsi="宋体" w:hint="eastAsia"/>
          <w:kern w:val="0"/>
          <w:sz w:val="24"/>
        </w:rPr>
        <w:t>200号行政楼219室，邮编201806   请在封面注明招标编号</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1．联系人：  朱 老师  电话：021-60675958-1034</w:t>
      </w:r>
    </w:p>
    <w:p w:rsidR="00FC383F" w:rsidRPr="00FC383F" w:rsidRDefault="00FC383F" w:rsidP="00FC383F">
      <w:pPr>
        <w:widowControl/>
        <w:spacing w:before="100" w:beforeAutospacing="1" w:after="100" w:afterAutospacing="1"/>
        <w:ind w:firstLine="560"/>
        <w:rPr>
          <w:rFonts w:ascii="宋体" w:hAnsi="宋体" w:cs="宋体"/>
          <w:kern w:val="0"/>
          <w:sz w:val="24"/>
        </w:rPr>
      </w:pPr>
      <w:r w:rsidRPr="00FC383F">
        <w:rPr>
          <w:rFonts w:ascii="宋体" w:hAnsi="宋体" w:hint="eastAsia"/>
          <w:kern w:val="0"/>
          <w:sz w:val="24"/>
        </w:rPr>
        <w:t xml:space="preserve">2．技术负责人： 徐老师   电话：021-60675958-1032 </w:t>
      </w:r>
    </w:p>
    <w:p w:rsidR="00FC383F" w:rsidRPr="00FC383F" w:rsidRDefault="00FC383F" w:rsidP="00FC383F">
      <w:pPr>
        <w:widowControl/>
        <w:spacing w:before="100" w:beforeAutospacing="1" w:after="100" w:afterAutospacing="1"/>
        <w:ind w:firstLine="3080"/>
        <w:jc w:val="right"/>
        <w:rPr>
          <w:rFonts w:ascii="宋体" w:hAnsi="宋体" w:cs="宋体"/>
          <w:kern w:val="0"/>
          <w:sz w:val="24"/>
        </w:rPr>
      </w:pPr>
      <w:r w:rsidRPr="00FC383F">
        <w:rPr>
          <w:rFonts w:ascii="宋体" w:hAnsi="宋体" w:hint="eastAsia"/>
          <w:kern w:val="0"/>
          <w:sz w:val="24"/>
        </w:rPr>
        <w:t>上海工商职业技术学院设备招标领导小组</w:t>
      </w:r>
    </w:p>
    <w:p w:rsidR="00FC383F" w:rsidRPr="00FC383F" w:rsidRDefault="00FC383F" w:rsidP="00FC383F">
      <w:pPr>
        <w:widowControl/>
        <w:spacing w:before="100" w:beforeAutospacing="1" w:after="100" w:afterAutospacing="1"/>
        <w:ind w:firstLine="4760"/>
        <w:jc w:val="right"/>
        <w:rPr>
          <w:rFonts w:ascii="宋体" w:hAnsi="宋体" w:cs="宋体"/>
          <w:kern w:val="0"/>
          <w:sz w:val="24"/>
        </w:rPr>
      </w:pPr>
      <w:r w:rsidRPr="00FC383F">
        <w:rPr>
          <w:rFonts w:ascii="宋体" w:hAnsi="宋体" w:hint="eastAsia"/>
          <w:kern w:val="0"/>
          <w:sz w:val="24"/>
        </w:rPr>
        <w:t>2020年 10  月 19日</w:t>
      </w:r>
    </w:p>
    <w:p w:rsidR="00D80E61" w:rsidRPr="00FC383F" w:rsidRDefault="00D80E61" w:rsidP="00FC383F"/>
    <w:sectPr w:rsidR="00D80E61" w:rsidRPr="00FC3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27" w:rsidRDefault="00AF0227" w:rsidP="008E6730">
      <w:r>
        <w:separator/>
      </w:r>
    </w:p>
  </w:endnote>
  <w:endnote w:type="continuationSeparator" w:id="0">
    <w:p w:rsidR="00AF0227" w:rsidRDefault="00AF0227" w:rsidP="008E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Light">
    <w:altName w:val="宋体"/>
    <w:charset w:val="86"/>
    <w:family w:val="auto"/>
    <w:pitch w:val="default"/>
    <w:sig w:usb0="00000000" w:usb1="00000000" w:usb2="00000010" w:usb3="00000000" w:csb0="003E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27" w:rsidRDefault="00AF0227" w:rsidP="008E6730">
      <w:r>
        <w:separator/>
      </w:r>
    </w:p>
  </w:footnote>
  <w:footnote w:type="continuationSeparator" w:id="0">
    <w:p w:rsidR="00AF0227" w:rsidRDefault="00AF0227" w:rsidP="008E6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CFBA8"/>
    <w:multiLevelType w:val="singleLevel"/>
    <w:tmpl w:val="960CFBA8"/>
    <w:lvl w:ilvl="0">
      <w:start w:val="6"/>
      <w:numFmt w:val="chineseCounting"/>
      <w:suff w:val="nothing"/>
      <w:lvlText w:val="%1、"/>
      <w:lvlJc w:val="left"/>
      <w:rPr>
        <w:rFonts w:hint="eastAsia"/>
      </w:rPr>
    </w:lvl>
  </w:abstractNum>
  <w:abstractNum w:abstractNumId="1">
    <w:nsid w:val="9C168904"/>
    <w:multiLevelType w:val="singleLevel"/>
    <w:tmpl w:val="9C168904"/>
    <w:lvl w:ilvl="0">
      <w:start w:val="1"/>
      <w:numFmt w:val="bullet"/>
      <w:lvlText w:val=""/>
      <w:lvlJc w:val="left"/>
      <w:pPr>
        <w:ind w:left="420" w:hanging="420"/>
      </w:pPr>
      <w:rPr>
        <w:rFonts w:ascii="Wingdings" w:hAnsi="Wingdings" w:hint="default"/>
      </w:rPr>
    </w:lvl>
  </w:abstractNum>
  <w:abstractNum w:abstractNumId="2">
    <w:nsid w:val="1D5E5C67"/>
    <w:multiLevelType w:val="multilevel"/>
    <w:tmpl w:val="5994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BC5B94"/>
    <w:multiLevelType w:val="multilevel"/>
    <w:tmpl w:val="25BC5B9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21A4CFC"/>
    <w:multiLevelType w:val="multilevel"/>
    <w:tmpl w:val="321A4CFC"/>
    <w:lvl w:ilvl="0">
      <w:start w:val="1"/>
      <w:numFmt w:val="decimal"/>
      <w:lvlText w:val="%1."/>
      <w:lvlJc w:val="left"/>
      <w:pPr>
        <w:ind w:left="780" w:hanging="420"/>
      </w:pPr>
      <w:rPr>
        <w:rFont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nsid w:val="4B7A582D"/>
    <w:multiLevelType w:val="multilevel"/>
    <w:tmpl w:val="113A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2D3D36"/>
    <w:multiLevelType w:val="multilevel"/>
    <w:tmpl w:val="E87E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6C4323"/>
    <w:multiLevelType w:val="multilevel"/>
    <w:tmpl w:val="B936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647756"/>
    <w:multiLevelType w:val="multilevel"/>
    <w:tmpl w:val="036E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6C1AE5"/>
    <w:multiLevelType w:val="multilevel"/>
    <w:tmpl w:val="7F6C1AE5"/>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num w:numId="1">
    <w:abstractNumId w:val="1"/>
  </w:num>
  <w:num w:numId="2">
    <w:abstractNumId w:val="4"/>
  </w:num>
  <w:num w:numId="3">
    <w:abstractNumId w:val="9"/>
  </w:num>
  <w:num w:numId="4">
    <w:abstractNumId w:val="3"/>
  </w:num>
  <w:num w:numId="5">
    <w:abstractNumId w:val="0"/>
  </w:num>
  <w:num w:numId="6">
    <w:abstractNumId w:val="7"/>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F3"/>
    <w:rsid w:val="00062A9A"/>
    <w:rsid w:val="00087B46"/>
    <w:rsid w:val="000B3A12"/>
    <w:rsid w:val="00230B80"/>
    <w:rsid w:val="004C00F3"/>
    <w:rsid w:val="004E6D06"/>
    <w:rsid w:val="00554836"/>
    <w:rsid w:val="0064589D"/>
    <w:rsid w:val="006F418D"/>
    <w:rsid w:val="00722309"/>
    <w:rsid w:val="00725193"/>
    <w:rsid w:val="0083003B"/>
    <w:rsid w:val="008E6730"/>
    <w:rsid w:val="009428C8"/>
    <w:rsid w:val="00956932"/>
    <w:rsid w:val="009C6199"/>
    <w:rsid w:val="00A81117"/>
    <w:rsid w:val="00AF0227"/>
    <w:rsid w:val="00B36DD3"/>
    <w:rsid w:val="00C17715"/>
    <w:rsid w:val="00D80E61"/>
    <w:rsid w:val="00DE7B47"/>
    <w:rsid w:val="00F3402F"/>
    <w:rsid w:val="00F82AD5"/>
    <w:rsid w:val="00FC383F"/>
    <w:rsid w:val="2E9770B1"/>
    <w:rsid w:val="316E584D"/>
    <w:rsid w:val="70316961"/>
    <w:rsid w:val="76E0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spacing w:line="360" w:lineRule="auto"/>
      <w:ind w:firstLineChars="200" w:firstLine="420"/>
    </w:pPr>
    <w:rPr>
      <w:rFonts w:ascii="Heiti SC Light" w:eastAsia="Heiti SC Light" w:hAnsi="Calibri"/>
      <w:sz w:val="24"/>
    </w:rPr>
  </w:style>
  <w:style w:type="paragraph" w:styleId="a6">
    <w:name w:val="Normal (Web)"/>
    <w:basedOn w:val="a"/>
    <w:uiPriority w:val="99"/>
    <w:unhideWhenUsed/>
    <w:rsid w:val="00FC383F"/>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C38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spacing w:line="360" w:lineRule="auto"/>
      <w:ind w:firstLineChars="200" w:firstLine="420"/>
    </w:pPr>
    <w:rPr>
      <w:rFonts w:ascii="Heiti SC Light" w:eastAsia="Heiti SC Light" w:hAnsi="Calibri"/>
      <w:sz w:val="24"/>
    </w:rPr>
  </w:style>
  <w:style w:type="paragraph" w:styleId="a6">
    <w:name w:val="Normal (Web)"/>
    <w:basedOn w:val="a"/>
    <w:uiPriority w:val="99"/>
    <w:unhideWhenUsed/>
    <w:rsid w:val="00FC383F"/>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C3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06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338</Words>
  <Characters>1929</Characters>
  <Application>Microsoft Office Word</Application>
  <DocSecurity>0</DocSecurity>
  <Lines>16</Lines>
  <Paragraphs>4</Paragraphs>
  <ScaleCrop>false</ScaleCrop>
  <Company>Microsoft</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Microsoft</cp:lastModifiedBy>
  <cp:revision>3</cp:revision>
  <dcterms:created xsi:type="dcterms:W3CDTF">2020-10-12T06:13:00Z</dcterms:created>
  <dcterms:modified xsi:type="dcterms:W3CDTF">2020-10-19T01:50:00Z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