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3B" w:rsidRPr="003A363B" w:rsidRDefault="003A363B" w:rsidP="003A363B">
      <w:pPr>
        <w:widowControl/>
        <w:spacing w:before="100" w:beforeAutospacing="1" w:after="100" w:afterAutospacing="1"/>
        <w:jc w:val="center"/>
        <w:rPr>
          <w:rFonts w:ascii="宋体" w:hAnsi="宋体" w:cs="宋体"/>
          <w:kern w:val="0"/>
          <w:sz w:val="36"/>
          <w:szCs w:val="36"/>
        </w:rPr>
      </w:pPr>
      <w:r w:rsidRPr="00F72CDA">
        <w:rPr>
          <w:rFonts w:ascii="宋体" w:hAnsi="宋体" w:cs="宋体" w:hint="eastAsia"/>
          <w:b/>
          <w:bCs/>
          <w:kern w:val="0"/>
          <w:sz w:val="36"/>
          <w:szCs w:val="36"/>
        </w:rPr>
        <w:t>上海工商职业技术学院</w:t>
      </w:r>
      <w:r w:rsidRPr="003A363B">
        <w:rPr>
          <w:rFonts w:ascii="宋体" w:hAnsi="宋体" w:cs="宋体" w:hint="eastAsia"/>
          <w:b/>
          <w:bCs/>
          <w:kern w:val="0"/>
          <w:sz w:val="36"/>
          <w:szCs w:val="36"/>
        </w:rPr>
        <w:br/>
      </w:r>
      <w:r w:rsidRPr="00F72CDA">
        <w:rPr>
          <w:rFonts w:ascii="宋体" w:hAnsi="宋体" w:cs="宋体" w:hint="eastAsia"/>
          <w:b/>
          <w:bCs/>
          <w:kern w:val="0"/>
          <w:sz w:val="36"/>
          <w:szCs w:val="36"/>
        </w:rPr>
        <w:t>2019年教职工健康体检项目招标公告</w:t>
      </w:r>
    </w:p>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 w:val="24"/>
        </w:rPr>
        <w:br/>
      </w:r>
      <w:r w:rsidRPr="003A363B">
        <w:rPr>
          <w:rFonts w:ascii="宋体" w:hAnsi="宋体" w:cs="宋体" w:hint="eastAsia"/>
          <w:kern w:val="0"/>
          <w:sz w:val="24"/>
        </w:rPr>
        <w:t>招标编号：GS-2019-46</w:t>
      </w:r>
    </w:p>
    <w:p w:rsidR="003A363B" w:rsidRPr="003A363B" w:rsidRDefault="003A363B" w:rsidP="003A363B">
      <w:pPr>
        <w:widowControl/>
        <w:spacing w:before="100" w:beforeAutospacing="1" w:after="100" w:afterAutospacing="1"/>
        <w:rPr>
          <w:rFonts w:ascii="宋体" w:hAnsi="宋体" w:cs="宋体"/>
          <w:kern w:val="0"/>
          <w:sz w:val="24"/>
        </w:rPr>
      </w:pPr>
      <w:r w:rsidRPr="003A363B">
        <w:rPr>
          <w:rFonts w:ascii="宋体" w:hAnsi="宋体" w:cs="宋体" w:hint="eastAsia"/>
          <w:kern w:val="0"/>
          <w:sz w:val="24"/>
        </w:rPr>
        <w:t>各公司厂商：</w:t>
      </w:r>
    </w:p>
    <w:p w:rsidR="00F72CDA" w:rsidRDefault="003A363B" w:rsidP="00F72CDA">
      <w:pPr>
        <w:widowControl/>
        <w:spacing w:before="100" w:beforeAutospacing="1" w:after="100" w:afterAutospacing="1"/>
        <w:ind w:firstLine="420"/>
        <w:rPr>
          <w:rFonts w:ascii="宋体" w:hAnsi="宋体" w:cs="宋体" w:hint="eastAsia"/>
          <w:b/>
          <w:bCs/>
          <w:kern w:val="0"/>
          <w:sz w:val="24"/>
        </w:rPr>
      </w:pPr>
      <w:r w:rsidRPr="003A363B">
        <w:rPr>
          <w:rFonts w:ascii="宋体" w:hAnsi="宋体" w:cs="宋体" w:hint="eastAsia"/>
          <w:kern w:val="0"/>
          <w:sz w:val="24"/>
        </w:rPr>
        <w:t>根据《中华人民共和国招标投标法》及有关法律法规和规章规定，上海工商职业技术学院就“2019年教职工健康体检项目”进行公开招标采购，欢迎具有资质和能力的单位前来投标。</w:t>
      </w:r>
      <w:r w:rsidRPr="003A363B">
        <w:rPr>
          <w:rFonts w:ascii="宋体" w:hAnsi="宋体" w:cs="宋体" w:hint="eastAsia"/>
          <w:b/>
          <w:bCs/>
          <w:kern w:val="0"/>
          <w:sz w:val="24"/>
        </w:rPr>
        <w:br/>
        <w:t xml:space="preserve">　　</w:t>
      </w:r>
    </w:p>
    <w:p w:rsidR="003A363B" w:rsidRPr="003A363B" w:rsidRDefault="003A363B" w:rsidP="00F72CDA">
      <w:pPr>
        <w:widowControl/>
        <w:spacing w:before="100" w:beforeAutospacing="1" w:after="100" w:afterAutospacing="1"/>
        <w:ind w:firstLine="420"/>
        <w:rPr>
          <w:rFonts w:ascii="宋体" w:hAnsi="宋体" w:cs="宋体"/>
          <w:kern w:val="0"/>
          <w:sz w:val="24"/>
        </w:rPr>
      </w:pPr>
      <w:bookmarkStart w:id="0" w:name="_GoBack"/>
      <w:bookmarkEnd w:id="0"/>
      <w:r w:rsidRPr="003A363B">
        <w:rPr>
          <w:rFonts w:ascii="宋体" w:hAnsi="宋体" w:cs="宋体" w:hint="eastAsia"/>
          <w:b/>
          <w:bCs/>
          <w:kern w:val="0"/>
          <w:sz w:val="24"/>
        </w:rPr>
        <w:t>一、项目名称</w:t>
      </w:r>
      <w:r w:rsidRPr="003A363B">
        <w:rPr>
          <w:rFonts w:ascii="宋体" w:hAnsi="宋体" w:cs="宋体" w:hint="eastAsia"/>
          <w:kern w:val="0"/>
          <w:sz w:val="24"/>
        </w:rPr>
        <w:br/>
        <w:t xml:space="preserve">　　2019年上海工商职业技术学院教职工健康体检</w:t>
      </w:r>
      <w:r w:rsidRPr="003A363B">
        <w:rPr>
          <w:rFonts w:ascii="宋体" w:hAnsi="宋体" w:cs="宋体" w:hint="eastAsia"/>
          <w:kern w:val="0"/>
          <w:sz w:val="24"/>
        </w:rPr>
        <w:br/>
      </w:r>
      <w:r w:rsidRPr="003A363B">
        <w:rPr>
          <w:rFonts w:ascii="宋体" w:hAnsi="宋体" w:cs="宋体" w:hint="eastAsia"/>
          <w:kern w:val="0"/>
          <w:sz w:val="24"/>
        </w:rPr>
        <w:br/>
        <w:t xml:space="preserve">　　</w:t>
      </w:r>
      <w:r w:rsidRPr="003A363B">
        <w:rPr>
          <w:rFonts w:ascii="宋体" w:hAnsi="宋体" w:cs="宋体" w:hint="eastAsia"/>
          <w:b/>
          <w:bCs/>
          <w:kern w:val="0"/>
          <w:sz w:val="24"/>
        </w:rPr>
        <w:t>二、2019年体检检查基本项目</w:t>
      </w:r>
    </w:p>
    <w:tbl>
      <w:tblPr>
        <w:tblW w:w="9960" w:type="dxa"/>
        <w:tblInd w:w="9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6"/>
        <w:gridCol w:w="779"/>
        <w:gridCol w:w="3456"/>
        <w:gridCol w:w="3160"/>
        <w:gridCol w:w="669"/>
        <w:gridCol w:w="700"/>
        <w:gridCol w:w="700"/>
      </w:tblGrid>
      <w:tr w:rsidR="003A363B" w:rsidRPr="003A363B" w:rsidTr="003A363B">
        <w:trPr>
          <w:trHeight w:val="390"/>
        </w:trPr>
        <w:tc>
          <w:tcPr>
            <w:tcW w:w="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序号</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第一类</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临床检查项目</w:t>
            </w:r>
          </w:p>
        </w:tc>
        <w:tc>
          <w:tcPr>
            <w:tcW w:w="3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检测意义</w:t>
            </w: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男</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女未婚</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女已婚</w:t>
            </w:r>
          </w:p>
        </w:tc>
      </w:tr>
      <w:tr w:rsidR="003A363B" w:rsidRPr="003A363B" w:rsidTr="003A363B">
        <w:trPr>
          <w:trHeight w:val="54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一般检查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一般A：身高,体重,体重指数BMI,血压,脉搏</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诊断高血压、超重、肥胖、消瘦，并且为相关科室的诊断提供重要的依据。</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102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外科检查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外科B：皮肤,浅表淋巴结,甲状腺,乳房,脊柱,四肢关节,肛门指诊,泌尿生殖系</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皮肤、淋巴结、甲状腺、乳房、前列腺、肛门、直肠有无异常；脊柱、四肢及关节有无畸形等。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内科检查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内科A：营养,面容,体态,心脏,肺部,腹部</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通过视、触、叩、</w:t>
            </w:r>
            <w:proofErr w:type="gramStart"/>
            <w:r w:rsidRPr="003A363B">
              <w:rPr>
                <w:rFonts w:ascii="宋体" w:hAnsi="宋体" w:cs="宋体" w:hint="eastAsia"/>
                <w:kern w:val="0"/>
                <w:sz w:val="18"/>
                <w:szCs w:val="18"/>
              </w:rPr>
              <w:t>听检查</w:t>
            </w:r>
            <w:proofErr w:type="gramEnd"/>
            <w:r w:rsidRPr="003A363B">
              <w:rPr>
                <w:rFonts w:ascii="宋体" w:hAnsi="宋体" w:cs="宋体" w:hint="eastAsia"/>
                <w:kern w:val="0"/>
                <w:sz w:val="18"/>
                <w:szCs w:val="18"/>
              </w:rPr>
              <w:t>心、肺、肝、脾等重要脏器的基本状况,发现常见疾病的相关征兆，或初步排除常见疾病。</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4</w:t>
            </w:r>
          </w:p>
        </w:tc>
        <w:tc>
          <w:tcPr>
            <w:tcW w:w="965"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眼科检查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眼科B：视力,外眼,眼底镜</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了解视力状况，检查眼睑、泪囊、结膜、眼球是否存在异常情况。通过眼底镜检查眼底视网膜、视神经乳头和视网膜中央血管等有无异常情况。</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5</w:t>
            </w:r>
          </w:p>
        </w:tc>
        <w:tc>
          <w:tcPr>
            <w:tcW w:w="96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耳鼻</w:t>
            </w:r>
            <w:proofErr w:type="gramStart"/>
            <w:r w:rsidRPr="003A363B">
              <w:rPr>
                <w:rFonts w:ascii="宋体" w:hAnsi="宋体" w:cs="宋体" w:hint="eastAsia"/>
                <w:kern w:val="0"/>
                <w:sz w:val="18"/>
                <w:szCs w:val="18"/>
              </w:rPr>
              <w:t>喉</w:t>
            </w:r>
            <w:proofErr w:type="gramEnd"/>
            <w:r w:rsidRPr="003A363B">
              <w:rPr>
                <w:rFonts w:ascii="宋体" w:hAnsi="宋体" w:cs="宋体" w:hint="eastAsia"/>
                <w:kern w:val="0"/>
                <w:sz w:val="18"/>
                <w:szCs w:val="18"/>
              </w:rPr>
              <w:t>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耳鼻、口咽</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筛查耳鼻、口咽发育、功能有无异常，有无疾病，用于诊断中耳炎、鼻炎、扁桃体病变及肿瘤病变。</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55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6</w:t>
            </w:r>
          </w:p>
        </w:tc>
        <w:tc>
          <w:tcPr>
            <w:tcW w:w="96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颈椎检查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颈椎</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筛查颈椎退行性改变，骨质增生，椎间孔变形等异常现象</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7</w:t>
            </w:r>
          </w:p>
        </w:tc>
        <w:tc>
          <w:tcPr>
            <w:tcW w:w="9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妇科检查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妇科内诊</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通过妇科体格检查，检查阴道、子宫、附件、盆腔等脏器基本情况，发现常见妇科疾病的相关征兆，或初步排除</w:t>
            </w:r>
            <w:r w:rsidRPr="003A363B">
              <w:rPr>
                <w:rFonts w:ascii="宋体" w:hAnsi="宋体" w:cs="宋体" w:hint="eastAsia"/>
                <w:kern w:val="0"/>
                <w:sz w:val="18"/>
                <w:szCs w:val="18"/>
              </w:rPr>
              <w:lastRenderedPageBreak/>
              <w:t>妇科常见疾病。</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lastRenderedPageBreak/>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28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lastRenderedPageBreak/>
              <w:t>8</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第二类</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实验室检查项目</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9</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血液常规</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18项        </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通过检测血液细胞的计数及不同种类细胞、成分的分类来反映身体状况，如：贫血、感染、血液系统疾病、物理化学因素损伤等。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10</w:t>
            </w:r>
          </w:p>
        </w:tc>
        <w:tc>
          <w:tcPr>
            <w:tcW w:w="965"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血糖测定</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空腹血糖（GLU）  </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是筛查糖尿病最基本的方法，有无糖尿病和低血糖，同时也是判断糖尿病病情和控制程度的主要指标。</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11</w:t>
            </w:r>
          </w:p>
        </w:tc>
        <w:tc>
          <w:tcPr>
            <w:tcW w:w="9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血脂检测</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血脂四项（TC,TG,HDL-C,LDL-C）</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用于动脉粥样硬化、高血压、冠心病等疾病诊断和疗效观察。</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12</w:t>
            </w:r>
          </w:p>
        </w:tc>
        <w:tc>
          <w:tcPr>
            <w:tcW w:w="0" w:type="auto"/>
            <w:vMerge/>
            <w:tcBorders>
              <w:top w:val="single" w:sz="8" w:space="0" w:color="auto"/>
              <w:left w:val="nil"/>
              <w:bottom w:val="single" w:sz="8" w:space="0" w:color="auto"/>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动脉硬化指数（AI）</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≥4异常。数值越大动脉硬化的程度越重，发生心脑血管的危险性越高。</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90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13</w:t>
            </w:r>
          </w:p>
        </w:tc>
        <w:tc>
          <w:tcPr>
            <w:tcW w:w="965"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肝功能</w:t>
            </w:r>
          </w:p>
        </w:tc>
        <w:tc>
          <w:tcPr>
            <w:tcW w:w="3270"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肝功能七项TP,ALB,GLO,ALB/GLO,ALT,T-BIL,ALK-P）</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可较好地了解肝脏功能状况。可提示肝胆系统疾病：急性传染性肝炎，中毒性肝炎，脂肪肝，胆管炎，胆囊炎，药物中毒性肝炎，酒精性肝炎和黄疸等。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14</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肾功能</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血尿素氮（BUN）,血肌酸酐（CR）,血清尿酸检测（UA）      </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可提示有无肾功能损害：如慢性肾炎，肾盂肾炎，肾结核，肾肿瘤，尿毒症等。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15</w:t>
            </w:r>
          </w:p>
        </w:tc>
        <w:tc>
          <w:tcPr>
            <w:tcW w:w="96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肿瘤标记</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甲胎蛋白（AFP）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用于原发性肝癌、病毒性肝炎、肝硬化、妊娠和胎儿畸形的辅助诊断。</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16</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癌胚抗原（CEA）</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用于肺、结肠、直肠、乳腺、胃、胰腺、胆管等肿瘤的辅助诊断及疗效的判断。</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17</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前列腺特异性抗原（TPSA）（男）</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用于检测前列腺疾病、前列腺癌的诊断及疗效监测。</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18</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卵巢癌肿瘤筛检（CA125）（女）</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卵巢、子宫内膜、肝、肺、结直肠、胃肠癌的辅助诊断和疗效监测。</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19</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乳腺癌肿瘤筛检（CA153）</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乳腺癌、转移性乳腺癌的辅助诊断及疗效监测。辅助诊断肝癌、卵巢癌、胰腺癌、肺癌等。</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20</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胰腺癌肿瘤筛检（CA199）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胰腺癌、胆道恶性肿瘤的诊断及胃肠道、甲状腺肿瘤的诊断和疗效监测。</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21</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多种肿瘤标记（CA50）</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胰腺、肝、卵巢、肺等肿瘤的诊断和疗效监测。</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22</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NSE-神经元特异性烯醇化酶</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是诊断小细胞肺癌的特异性指标</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78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23</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血粘度</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血粘度15项</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主要反映血液流动性、凝滞性和血液粘度的变化。适用于高血压、动脉硬</w:t>
            </w:r>
            <w:r w:rsidRPr="003A363B">
              <w:rPr>
                <w:rFonts w:ascii="宋体" w:hAnsi="宋体" w:cs="宋体" w:hint="eastAsia"/>
                <w:kern w:val="0"/>
                <w:sz w:val="18"/>
                <w:szCs w:val="18"/>
              </w:rPr>
              <w:br/>
              <w:t>化、脑中风、糖尿病及血脂异常等疾</w:t>
            </w:r>
            <w:r w:rsidRPr="003A363B">
              <w:rPr>
                <w:rFonts w:ascii="宋体" w:hAnsi="宋体" w:cs="宋体" w:hint="eastAsia"/>
                <w:kern w:val="0"/>
                <w:sz w:val="18"/>
                <w:szCs w:val="18"/>
              </w:rPr>
              <w:lastRenderedPageBreak/>
              <w:t>患的检查。</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lastRenderedPageBreak/>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90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lastRenderedPageBreak/>
              <w:t>24</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尿液常规</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尿常规15项</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该项检查是筛查泌尿系统疾病简单并且准确的方法。如泌尿系统感染、肿瘤、结石及了解肾功能，还可用于协助检查其他系统疾病，如糖尿病、肾炎等。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25</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白带常规</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白带常规三项</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了解阴道清洁度情况及妇科炎症，如：外阴阴道假丝酵母菌病、滴虫性阴道炎等均具有重要的意义。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26</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宫颈细胞学检查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子宫颈刮片检查（普通细胞学检测）</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是一种简单的初筛宫颈病变的方法。</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28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27</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第三类</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器械检查项目</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r>
      <w:tr w:rsidR="003A363B" w:rsidRPr="003A363B" w:rsidTr="003A363B">
        <w:trPr>
          <w:trHeight w:val="90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28</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心电图</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静态心电图检查（ECG）</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通过在体表特定部位同步记录和分析心脏每一个心动周期所产生电活动变化的曲线图形，为心脏疾病诊断、疗效评价、预后评估提供重要的依据。</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29</w:t>
            </w:r>
          </w:p>
        </w:tc>
        <w:tc>
          <w:tcPr>
            <w:tcW w:w="96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B超检查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肝部B超</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通过彩色超声仪器对人体肝脏进行检测，发现是否有形态学改变及占位性病变（肿瘤，结石，炎症等）。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30</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胆B超</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通过彩色超声仪器对人体胆囊进行检测，发现是否有形态学改变及占位性病变（肿瘤，结石，炎症等）。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31</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脾B超   </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通过彩色超声仪器对人体脾脏进行检测，发现是否有形态学改变及占位性病变（脾肿大、脾脓肿、脾肿瘤等）。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32</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胰脏B超</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通过彩色超声仪器对人体胰脏进行检测，发现是否有形态学改变及占位性病变（肿瘤、炎症等）。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33</w:t>
            </w:r>
          </w:p>
        </w:tc>
        <w:tc>
          <w:tcPr>
            <w:tcW w:w="0" w:type="auto"/>
            <w:vMerge/>
            <w:tcBorders>
              <w:top w:val="nil"/>
              <w:left w:val="nil"/>
              <w:bottom w:val="nil"/>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双肾B超</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通过彩色超声仪器检测人体脏器双肾，依病灶周围血管情况、病灶内血流血</w:t>
            </w:r>
            <w:proofErr w:type="gramStart"/>
            <w:r w:rsidRPr="003A363B">
              <w:rPr>
                <w:rFonts w:ascii="宋体" w:hAnsi="宋体" w:cs="宋体" w:hint="eastAsia"/>
                <w:kern w:val="0"/>
                <w:sz w:val="18"/>
                <w:szCs w:val="18"/>
              </w:rPr>
              <w:t>供情况</w:t>
            </w:r>
            <w:proofErr w:type="gramEnd"/>
            <w:r w:rsidRPr="003A363B">
              <w:rPr>
                <w:rFonts w:ascii="宋体" w:hAnsi="宋体" w:cs="宋体" w:hint="eastAsia"/>
                <w:kern w:val="0"/>
                <w:sz w:val="18"/>
                <w:szCs w:val="18"/>
              </w:rPr>
              <w:t>-良恶性病变鉴别；判断肾动脉狭窄、肿瘤、结石、积水等。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34</w:t>
            </w:r>
          </w:p>
        </w:tc>
        <w:tc>
          <w:tcPr>
            <w:tcW w:w="96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B超检查</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甲状腺B超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通过彩色超声仪器更清晰地观察甲状腺肿物、结节、肿大、炎症；可发现甲状腺肿、甲状腺囊肿、甲状腺炎、甲状腺瘤、甲状腺癌等疾病。</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6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35</w:t>
            </w:r>
          </w:p>
        </w:tc>
        <w:tc>
          <w:tcPr>
            <w:tcW w:w="0" w:type="auto"/>
            <w:vMerge/>
            <w:tcBorders>
              <w:top w:val="nil"/>
              <w:left w:val="nil"/>
              <w:bottom w:val="single" w:sz="8" w:space="0" w:color="000000"/>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男科前列腺超声波检查（男）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通过彩色超声仪器检查更清晰地观察前列腺大小、形态、结构等情况，判断有无前列腺增大、囊肿、结石，恶性病变等。</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r>
      <w:tr w:rsidR="003A363B" w:rsidRPr="003A363B" w:rsidTr="003A363B">
        <w:trPr>
          <w:trHeight w:val="72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lastRenderedPageBreak/>
              <w:t>36</w:t>
            </w:r>
          </w:p>
        </w:tc>
        <w:tc>
          <w:tcPr>
            <w:tcW w:w="0" w:type="auto"/>
            <w:vMerge/>
            <w:tcBorders>
              <w:top w:val="nil"/>
              <w:left w:val="nil"/>
              <w:bottom w:val="single" w:sz="8" w:space="0" w:color="000000"/>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妇科B超（腹超）</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通过仪器清晰地观察子宫及附件大小、形态结构及内部回声的情况,鉴别正常和异常,判别有无恶性病变。</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r>
      <w:tr w:rsidR="003A363B" w:rsidRPr="003A363B" w:rsidTr="003A363B">
        <w:trPr>
          <w:trHeight w:val="112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37</w:t>
            </w:r>
          </w:p>
        </w:tc>
        <w:tc>
          <w:tcPr>
            <w:tcW w:w="0" w:type="auto"/>
            <w:vMerge/>
            <w:tcBorders>
              <w:top w:val="nil"/>
              <w:left w:val="nil"/>
              <w:bottom w:val="single" w:sz="8" w:space="0" w:color="000000"/>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妇科B超（阴超）</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通过彩色超声仪器清晰地观察子宫及附件（卵巢、输卵管）大小、形态结构及内部回声的情况，鉴别正常和异常，了解病变的性质，判别有无恶性病变。其优点就是检查前不用憋尿，且图像更清晰，检查更准确。</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38</w:t>
            </w:r>
          </w:p>
        </w:tc>
        <w:tc>
          <w:tcPr>
            <w:tcW w:w="0" w:type="auto"/>
            <w:vMerge/>
            <w:tcBorders>
              <w:top w:val="nil"/>
              <w:left w:val="nil"/>
              <w:bottom w:val="single" w:sz="8" w:space="0" w:color="000000"/>
              <w:right w:val="single" w:sz="8" w:space="0" w:color="auto"/>
            </w:tcBorders>
            <w:vAlign w:val="center"/>
            <w:hideMark/>
          </w:tcPr>
          <w:p w:rsidR="003A363B" w:rsidRPr="003A363B" w:rsidRDefault="003A363B" w:rsidP="003A363B">
            <w:pPr>
              <w:widowControl/>
              <w:jc w:val="left"/>
              <w:rPr>
                <w:rFonts w:ascii="宋体" w:hAnsi="宋体" w:cs="宋体"/>
                <w:kern w:val="0"/>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 xml:space="preserve">乳房超声检查（女）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通过彩色超声仪器检查乳腺,发现乳腺增生、肿物、结节、囊肿、腺瘤、乳腺癌等病变。</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210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39</w:t>
            </w:r>
          </w:p>
        </w:tc>
        <w:tc>
          <w:tcPr>
            <w:tcW w:w="965"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CT</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肺部（低剂量）</w:t>
            </w:r>
          </w:p>
        </w:tc>
        <w:tc>
          <w:tcPr>
            <w:tcW w:w="3160"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低剂量螺旋CT(简称LDCT)扫描方案是通过优化扫描参数，改变管电流、管</w:t>
            </w:r>
            <w:r w:rsidRPr="003A363B">
              <w:rPr>
                <w:rFonts w:ascii="宋体" w:hAnsi="宋体" w:cs="宋体" w:hint="eastAsia"/>
                <w:kern w:val="0"/>
                <w:sz w:val="18"/>
                <w:szCs w:val="18"/>
              </w:rPr>
              <w:br/>
              <w:t>电压和螺距等来降低辐射剂量，胸部扫描辐射剂量仅为常规CT的20％左右</w:t>
            </w:r>
            <w:r w:rsidRPr="003A363B">
              <w:rPr>
                <w:rFonts w:ascii="宋体" w:hAnsi="宋体" w:cs="宋体" w:hint="eastAsia"/>
                <w:kern w:val="0"/>
                <w:sz w:val="18"/>
                <w:szCs w:val="18"/>
              </w:rPr>
              <w:br/>
              <w:t>。低剂量螺旋CT对肺部筛查有助于发现早期肺癌，特别是周围型肺癌，其</w:t>
            </w:r>
            <w:r w:rsidRPr="003A363B">
              <w:rPr>
                <w:rFonts w:ascii="宋体" w:hAnsi="宋体" w:cs="宋体" w:hint="eastAsia"/>
                <w:kern w:val="0"/>
                <w:sz w:val="18"/>
                <w:szCs w:val="18"/>
              </w:rPr>
              <w:br/>
              <w:t>诊出率约为胸片的10倍。因其较少的辐射剂量，有效的降低了医源性辐射</w:t>
            </w:r>
            <w:r w:rsidRPr="003A363B">
              <w:rPr>
                <w:rFonts w:ascii="宋体" w:hAnsi="宋体" w:cs="宋体" w:hint="eastAsia"/>
                <w:kern w:val="0"/>
                <w:sz w:val="18"/>
                <w:szCs w:val="18"/>
              </w:rPr>
              <w:br/>
              <w:t>引起的恶性病变的风险。</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28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40</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第四类</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特别检查与服务</w:t>
            </w:r>
          </w:p>
        </w:tc>
        <w:tc>
          <w:tcPr>
            <w:tcW w:w="3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37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41</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早餐</w:t>
            </w:r>
          </w:p>
        </w:tc>
        <w:tc>
          <w:tcPr>
            <w:tcW w:w="3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营养健康早餐</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42</w:t>
            </w:r>
          </w:p>
        </w:tc>
        <w:tc>
          <w:tcPr>
            <w:tcW w:w="965"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报告解读</w:t>
            </w:r>
          </w:p>
        </w:tc>
        <w:tc>
          <w:tcPr>
            <w:tcW w:w="3270" w:type="dxa"/>
            <w:tcBorders>
              <w:top w:val="nil"/>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在线解读报告+快递报告</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285"/>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43</w:t>
            </w:r>
          </w:p>
        </w:tc>
        <w:tc>
          <w:tcPr>
            <w:tcW w:w="96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电子报告</w:t>
            </w:r>
          </w:p>
        </w:tc>
        <w:tc>
          <w:tcPr>
            <w:tcW w:w="327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网络电子报告查询</w:t>
            </w:r>
          </w:p>
        </w:tc>
        <w:tc>
          <w:tcPr>
            <w:tcW w:w="3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44</w:t>
            </w:r>
          </w:p>
        </w:tc>
        <w:tc>
          <w:tcPr>
            <w:tcW w:w="96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档案保存</w:t>
            </w:r>
          </w:p>
        </w:tc>
        <w:tc>
          <w:tcPr>
            <w:tcW w:w="327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电子健康档案终生保存</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w:t>
            </w:r>
          </w:p>
        </w:tc>
      </w:tr>
      <w:tr w:rsidR="003A363B" w:rsidRPr="003A363B" w:rsidTr="003A363B">
        <w:trPr>
          <w:trHeight w:val="450"/>
        </w:trPr>
        <w:tc>
          <w:tcPr>
            <w:tcW w:w="4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45</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hint="eastAsia"/>
                <w:kern w:val="0"/>
                <w:sz w:val="18"/>
                <w:szCs w:val="18"/>
              </w:rPr>
              <w:t>绿色通道</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left"/>
              <w:rPr>
                <w:rFonts w:ascii="宋体" w:hAnsi="宋体" w:cs="宋体"/>
                <w:kern w:val="0"/>
                <w:sz w:val="24"/>
              </w:rPr>
            </w:pPr>
            <w:r w:rsidRPr="003A363B">
              <w:rPr>
                <w:rFonts w:ascii="宋体" w:hAnsi="宋体" w:cs="宋体" w:hint="eastAsia"/>
                <w:kern w:val="0"/>
                <w:sz w:val="18"/>
                <w:szCs w:val="18"/>
              </w:rPr>
              <w:t>检出重大阳性，开辟绿色就医通道</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363B" w:rsidRPr="003A363B" w:rsidRDefault="003A363B" w:rsidP="003A363B">
            <w:pPr>
              <w:widowControl/>
              <w:spacing w:before="100" w:beforeAutospacing="1" w:after="100" w:afterAutospacing="1"/>
              <w:jc w:val="center"/>
              <w:rPr>
                <w:rFonts w:ascii="宋体" w:hAnsi="宋体" w:cs="宋体"/>
                <w:kern w:val="0"/>
                <w:sz w:val="24"/>
              </w:rPr>
            </w:pPr>
            <w:r w:rsidRPr="003A363B">
              <w:rPr>
                <w:rFonts w:ascii="宋体" w:hAnsi="宋体" w:cs="宋体"/>
                <w:kern w:val="0"/>
                <w:szCs w:val="21"/>
              </w:rPr>
              <w:t xml:space="preserve">　</w:t>
            </w:r>
          </w:p>
        </w:tc>
      </w:tr>
    </w:tbl>
    <w:p w:rsidR="003A363B" w:rsidRPr="003A363B" w:rsidRDefault="003A363B" w:rsidP="003A363B">
      <w:pPr>
        <w:widowControl/>
        <w:spacing w:before="100" w:beforeAutospacing="1" w:after="100" w:afterAutospacing="1"/>
        <w:ind w:firstLine="360"/>
        <w:jc w:val="left"/>
        <w:rPr>
          <w:rFonts w:ascii="宋体" w:hAnsi="宋体" w:cs="宋体"/>
          <w:kern w:val="0"/>
          <w:sz w:val="24"/>
        </w:rPr>
      </w:pPr>
      <w:r w:rsidRPr="003A363B">
        <w:rPr>
          <w:rFonts w:ascii="宋体" w:hAnsi="宋体" w:cs="宋体" w:hint="eastAsia"/>
          <w:b/>
          <w:bCs/>
          <w:kern w:val="0"/>
          <w:sz w:val="24"/>
        </w:rPr>
        <w:br/>
        <w:t xml:space="preserve">　　三、投标方资质要求</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1.投标人必须具备由卫生局审批的医疗机构执业许可证、医疗卫生行业的ISO认证；拟投入在职人员高级职称比例不少于30%。</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2.投标人必须是具有独立法人资格、依法纳税的企事业，并按照中华人民共和国公司法运作，并独立于招标人和招标代理机构。</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3.投标人在以往类似项目中没有负面记录、不良社会报道及法律纠纷。</w:t>
      </w:r>
      <w:r w:rsidRPr="003A363B">
        <w:rPr>
          <w:rFonts w:ascii="宋体" w:hAnsi="宋体" w:cs="宋体" w:hint="eastAsia"/>
          <w:kern w:val="0"/>
          <w:sz w:val="24"/>
        </w:rPr>
        <w:br/>
        <w:t xml:space="preserve">　　</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b/>
          <w:bCs/>
          <w:kern w:val="0"/>
          <w:sz w:val="24"/>
        </w:rPr>
        <w:lastRenderedPageBreak/>
        <w:t>四、项目报价</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报价单位应根据体检项目需求的规定进行报价，体检项目须符合或正偏离我院体检招标项目内容。</w:t>
      </w:r>
      <w:r w:rsidRPr="003A363B">
        <w:rPr>
          <w:rFonts w:ascii="宋体" w:hAnsi="宋体" w:cs="宋体" w:hint="eastAsia"/>
          <w:b/>
          <w:bCs/>
          <w:kern w:val="0"/>
          <w:sz w:val="24"/>
        </w:rPr>
        <w:br/>
        <w:t xml:space="preserve">　　</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b/>
          <w:bCs/>
          <w:kern w:val="0"/>
          <w:sz w:val="24"/>
        </w:rPr>
        <w:t>五、体检时间</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合同中生效日期开始，6个月体检时间。</w:t>
      </w:r>
      <w:r w:rsidRPr="003A363B">
        <w:rPr>
          <w:rFonts w:ascii="宋体" w:hAnsi="宋体" w:cs="宋体" w:hint="eastAsia"/>
          <w:b/>
          <w:bCs/>
          <w:kern w:val="0"/>
          <w:sz w:val="24"/>
        </w:rPr>
        <w:br/>
        <w:t xml:space="preserve">　　</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b/>
          <w:bCs/>
          <w:kern w:val="0"/>
          <w:sz w:val="24"/>
        </w:rPr>
        <w:t>六、体检人数</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 250至300人</w:t>
      </w:r>
      <w:r w:rsidRPr="003A363B">
        <w:rPr>
          <w:rFonts w:ascii="宋体" w:hAnsi="宋体" w:cs="宋体" w:hint="eastAsia"/>
          <w:b/>
          <w:bCs/>
          <w:kern w:val="0"/>
          <w:sz w:val="24"/>
        </w:rPr>
        <w:br/>
        <w:t xml:space="preserve">　　</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b/>
          <w:bCs/>
          <w:kern w:val="0"/>
          <w:sz w:val="24"/>
        </w:rPr>
        <w:t>七、付款方式</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合同签订后2周内付80%预付款，体检时间结束，按照实际体检人数结算尾款。</w:t>
      </w:r>
      <w:r w:rsidRPr="003A363B">
        <w:rPr>
          <w:rFonts w:ascii="宋体" w:hAnsi="宋体" w:cs="宋体" w:hint="eastAsia"/>
          <w:b/>
          <w:bCs/>
          <w:kern w:val="0"/>
          <w:sz w:val="24"/>
        </w:rPr>
        <w:br/>
        <w:t xml:space="preserve">　　</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b/>
          <w:bCs/>
          <w:kern w:val="0"/>
          <w:sz w:val="24"/>
        </w:rPr>
        <w:t>八、质量保证与售后服务</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投标方提供质量保证和售后服务，体检全部结束后，到我院开展1场体检报告现场数据解读服务。</w:t>
      </w:r>
      <w:r w:rsidRPr="003A363B">
        <w:rPr>
          <w:rFonts w:ascii="宋体" w:hAnsi="宋体" w:cs="宋体" w:hint="eastAsia"/>
          <w:b/>
          <w:bCs/>
          <w:kern w:val="0"/>
          <w:sz w:val="24"/>
        </w:rPr>
        <w:br/>
        <w:t xml:space="preserve">　　</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b/>
          <w:bCs/>
          <w:kern w:val="0"/>
          <w:sz w:val="24"/>
        </w:rPr>
        <w:t>九、投标书内容及要求</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作废标处理，并取消此单位的投标资格。</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如果投标文件通过邮寄递交，投标方应将投标文件用内、外两层信封密封，并在外层标明招标编号、投标货物名称、投标单位名称。</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投标书应包含以下内容：</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1.投标函，投标函中必须包含投标单位的详细信息（单位地址、联系人姓名、电话和E-mail）。</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2.投标书、投标分项明细表，</w:t>
      </w:r>
      <w:r w:rsidRPr="003A363B">
        <w:rPr>
          <w:rFonts w:ascii="宋体" w:hAnsi="宋体" w:cs="宋体" w:hint="eastAsia"/>
          <w:b/>
          <w:bCs/>
          <w:kern w:val="0"/>
          <w:sz w:val="24"/>
        </w:rPr>
        <w:t>应符合或正偏离我院体检招标项目内容。</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lastRenderedPageBreak/>
        <w:t>3.投标方资质文件、资格证明（法人代表授权书）、法人身份（正反面）证复印件、被授权人身份证（正反面）复印件、营业执照复印件、税务登记证明复印件、原生产厂商授权书正本及复印件等）、安全生产许可证。</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4.投标文件清单：</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(1)拟投入体检设备一览表；</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(2)拟投入人员情况一览表；</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(3)项目报价表；</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(4)投标人的服务方案；</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(5)投标人近两年内主要客户。</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5.质量、服务保证承诺书等。</w:t>
      </w:r>
      <w:r w:rsidRPr="003A363B">
        <w:rPr>
          <w:rFonts w:ascii="宋体" w:hAnsi="宋体" w:cs="宋体" w:hint="eastAsia"/>
          <w:b/>
          <w:bCs/>
          <w:kern w:val="0"/>
          <w:sz w:val="24"/>
        </w:rPr>
        <w:br/>
        <w:t xml:space="preserve">　　</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b/>
          <w:bCs/>
          <w:kern w:val="0"/>
          <w:sz w:val="24"/>
        </w:rPr>
        <w:t>十、投标截止时间</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投标单位请在2019年11月7日下午15：00前将标书送达上海工商职业技术学院设备管理处。</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地址：上海市嘉定区外冈</w:t>
      </w:r>
      <w:proofErr w:type="gramStart"/>
      <w:r w:rsidRPr="003A363B">
        <w:rPr>
          <w:rFonts w:ascii="宋体" w:hAnsi="宋体" w:cs="宋体" w:hint="eastAsia"/>
          <w:kern w:val="0"/>
          <w:sz w:val="24"/>
        </w:rPr>
        <w:t>镇恒荣路</w:t>
      </w:r>
      <w:proofErr w:type="gramEnd"/>
      <w:r w:rsidRPr="003A363B">
        <w:rPr>
          <w:rFonts w:ascii="宋体" w:hAnsi="宋体" w:cs="宋体" w:hint="eastAsia"/>
          <w:kern w:val="0"/>
          <w:sz w:val="24"/>
        </w:rPr>
        <w:t>200号行政楼219室，邮编201806   请在封面注明招标编号</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1.联系人：  朱 老师   电话：021-60675958-1034</w:t>
      </w: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2.技术负责人： 杨老师   电话：021-60675958-1120</w:t>
      </w:r>
    </w:p>
    <w:p w:rsidR="003A363B" w:rsidRPr="003A363B" w:rsidRDefault="003A363B" w:rsidP="003A363B">
      <w:pPr>
        <w:widowControl/>
        <w:spacing w:before="100" w:beforeAutospacing="1" w:after="100" w:afterAutospacing="1"/>
        <w:ind w:firstLine="480"/>
        <w:rPr>
          <w:rFonts w:ascii="宋体" w:hAnsi="宋体" w:cs="宋体"/>
          <w:kern w:val="0"/>
          <w:sz w:val="24"/>
        </w:rPr>
      </w:pPr>
    </w:p>
    <w:p w:rsidR="003A363B" w:rsidRPr="003A363B" w:rsidRDefault="003A363B" w:rsidP="003A363B">
      <w:pPr>
        <w:widowControl/>
        <w:spacing w:before="100" w:beforeAutospacing="1" w:after="100" w:afterAutospacing="1"/>
        <w:ind w:firstLine="2640"/>
        <w:jc w:val="right"/>
        <w:rPr>
          <w:rFonts w:ascii="宋体" w:hAnsi="宋体" w:cs="宋体"/>
          <w:kern w:val="0"/>
          <w:sz w:val="24"/>
        </w:rPr>
      </w:pPr>
      <w:r w:rsidRPr="003A363B">
        <w:rPr>
          <w:rFonts w:ascii="宋体" w:hAnsi="宋体" w:hint="eastAsia"/>
          <w:kern w:val="0"/>
          <w:sz w:val="24"/>
        </w:rPr>
        <w:t>上海工商职业技术学院设备招标领导小组</w:t>
      </w:r>
    </w:p>
    <w:p w:rsidR="003A363B" w:rsidRPr="003A363B" w:rsidRDefault="003A363B" w:rsidP="003A363B">
      <w:pPr>
        <w:widowControl/>
        <w:spacing w:before="100" w:beforeAutospacing="1" w:after="100" w:afterAutospacing="1"/>
        <w:ind w:firstLine="4080"/>
        <w:jc w:val="right"/>
        <w:rPr>
          <w:rFonts w:ascii="宋体" w:hAnsi="宋体" w:cs="宋体"/>
          <w:kern w:val="0"/>
          <w:sz w:val="24"/>
        </w:rPr>
      </w:pPr>
      <w:r w:rsidRPr="003A363B">
        <w:rPr>
          <w:rFonts w:ascii="宋体" w:hAnsi="宋体" w:hint="eastAsia"/>
          <w:kern w:val="0"/>
          <w:sz w:val="24"/>
        </w:rPr>
        <w:t>2019 年10月 25日</w:t>
      </w:r>
    </w:p>
    <w:p w:rsidR="003A363B" w:rsidRPr="003A363B" w:rsidRDefault="003A363B" w:rsidP="003A363B">
      <w:pPr>
        <w:widowControl/>
        <w:spacing w:before="100" w:beforeAutospacing="1" w:after="100" w:afterAutospacing="1"/>
        <w:ind w:firstLine="4080"/>
        <w:jc w:val="left"/>
        <w:rPr>
          <w:rFonts w:ascii="宋体" w:hAnsi="宋体" w:cs="宋体"/>
          <w:kern w:val="0"/>
          <w:sz w:val="24"/>
        </w:rPr>
      </w:pPr>
    </w:p>
    <w:p w:rsidR="003A363B" w:rsidRPr="003A363B" w:rsidRDefault="003A363B" w:rsidP="003A363B">
      <w:pPr>
        <w:widowControl/>
        <w:spacing w:before="100" w:beforeAutospacing="1" w:after="100" w:afterAutospacing="1"/>
        <w:ind w:firstLine="480"/>
        <w:rPr>
          <w:rFonts w:ascii="宋体" w:hAnsi="宋体" w:cs="宋体"/>
          <w:kern w:val="0"/>
          <w:sz w:val="24"/>
        </w:rPr>
      </w:pPr>
      <w:r w:rsidRPr="003A363B">
        <w:rPr>
          <w:rFonts w:ascii="宋体" w:hAnsi="宋体" w:cs="宋体" w:hint="eastAsia"/>
          <w:kern w:val="0"/>
          <w:sz w:val="24"/>
        </w:rPr>
        <w:t xml:space="preserve">    </w:t>
      </w:r>
    </w:p>
    <w:p w:rsidR="003A363B" w:rsidRPr="003A363B" w:rsidRDefault="003A363B" w:rsidP="003A363B">
      <w:pPr>
        <w:widowControl/>
        <w:spacing w:before="100" w:beforeAutospacing="1" w:after="100" w:afterAutospacing="1"/>
        <w:ind w:firstLine="2640"/>
        <w:jc w:val="right"/>
        <w:rPr>
          <w:rFonts w:ascii="宋体" w:hAnsi="宋体" w:cs="宋体"/>
          <w:kern w:val="0"/>
          <w:sz w:val="24"/>
        </w:rPr>
      </w:pPr>
    </w:p>
    <w:p w:rsidR="003A363B" w:rsidRPr="003A363B" w:rsidRDefault="003A363B" w:rsidP="003A363B"/>
    <w:sectPr w:rsidR="003A363B" w:rsidRPr="003A3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CE" w:rsidRDefault="004807CE" w:rsidP="000B3A12">
      <w:r>
        <w:separator/>
      </w:r>
    </w:p>
  </w:endnote>
  <w:endnote w:type="continuationSeparator" w:id="0">
    <w:p w:rsidR="004807CE" w:rsidRDefault="004807CE" w:rsidP="000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CE" w:rsidRDefault="004807CE" w:rsidP="000B3A12">
      <w:r>
        <w:separator/>
      </w:r>
    </w:p>
  </w:footnote>
  <w:footnote w:type="continuationSeparator" w:id="0">
    <w:p w:rsidR="004807CE" w:rsidRDefault="004807CE" w:rsidP="000B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074B7"/>
    <w:rsid w:val="000507E9"/>
    <w:rsid w:val="00053F74"/>
    <w:rsid w:val="00062A9A"/>
    <w:rsid w:val="000B3A12"/>
    <w:rsid w:val="000F2022"/>
    <w:rsid w:val="00130B58"/>
    <w:rsid w:val="001325EE"/>
    <w:rsid w:val="00190FB7"/>
    <w:rsid w:val="001F5793"/>
    <w:rsid w:val="00243EC0"/>
    <w:rsid w:val="003A363B"/>
    <w:rsid w:val="004807CE"/>
    <w:rsid w:val="0049401D"/>
    <w:rsid w:val="004C00F3"/>
    <w:rsid w:val="004E6D06"/>
    <w:rsid w:val="00525842"/>
    <w:rsid w:val="00527078"/>
    <w:rsid w:val="00554836"/>
    <w:rsid w:val="00565DBD"/>
    <w:rsid w:val="006748B3"/>
    <w:rsid w:val="006E1A6D"/>
    <w:rsid w:val="007109FB"/>
    <w:rsid w:val="008826FC"/>
    <w:rsid w:val="009428C8"/>
    <w:rsid w:val="00986F3A"/>
    <w:rsid w:val="009C1826"/>
    <w:rsid w:val="00A12E7F"/>
    <w:rsid w:val="00AE45CF"/>
    <w:rsid w:val="00B36DD3"/>
    <w:rsid w:val="00B8461B"/>
    <w:rsid w:val="00C26455"/>
    <w:rsid w:val="00C40DB4"/>
    <w:rsid w:val="00C67F72"/>
    <w:rsid w:val="00CB51DE"/>
    <w:rsid w:val="00D449C9"/>
    <w:rsid w:val="00DA47CC"/>
    <w:rsid w:val="00DD3043"/>
    <w:rsid w:val="00DF00A1"/>
    <w:rsid w:val="00E3534D"/>
    <w:rsid w:val="00F72CDA"/>
    <w:rsid w:val="00F73C66"/>
    <w:rsid w:val="00F95B98"/>
    <w:rsid w:val="00F95D38"/>
    <w:rsid w:val="00FD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Balloon Text"/>
    <w:basedOn w:val="a"/>
    <w:link w:val="Char1"/>
    <w:uiPriority w:val="99"/>
    <w:semiHidden/>
    <w:unhideWhenUsed/>
    <w:rsid w:val="00F95B98"/>
    <w:rPr>
      <w:sz w:val="18"/>
      <w:szCs w:val="18"/>
    </w:rPr>
  </w:style>
  <w:style w:type="character" w:customStyle="1" w:styleId="Char1">
    <w:name w:val="批注框文本 Char"/>
    <w:basedOn w:val="a0"/>
    <w:link w:val="a5"/>
    <w:uiPriority w:val="99"/>
    <w:semiHidden/>
    <w:rsid w:val="00F95B98"/>
    <w:rPr>
      <w:rFonts w:ascii="Times New Roman" w:eastAsia="宋体" w:hAnsi="Times New Roman" w:cs="Times New Roman"/>
      <w:sz w:val="18"/>
      <w:szCs w:val="18"/>
    </w:rPr>
  </w:style>
  <w:style w:type="paragraph" w:styleId="a6">
    <w:name w:val="Date"/>
    <w:basedOn w:val="a"/>
    <w:next w:val="a"/>
    <w:link w:val="Char2"/>
    <w:uiPriority w:val="99"/>
    <w:semiHidden/>
    <w:unhideWhenUsed/>
    <w:rsid w:val="003A363B"/>
    <w:pPr>
      <w:ind w:leftChars="2500" w:left="100"/>
    </w:pPr>
  </w:style>
  <w:style w:type="character" w:customStyle="1" w:styleId="Char2">
    <w:name w:val="日期 Char"/>
    <w:basedOn w:val="a0"/>
    <w:link w:val="a6"/>
    <w:uiPriority w:val="99"/>
    <w:semiHidden/>
    <w:rsid w:val="003A363B"/>
    <w:rPr>
      <w:rFonts w:ascii="Times New Roman" w:eastAsia="宋体" w:hAnsi="Times New Roman" w:cs="Times New Roman"/>
      <w:szCs w:val="24"/>
    </w:rPr>
  </w:style>
  <w:style w:type="paragraph" w:styleId="a7">
    <w:name w:val="Normal (Web)"/>
    <w:basedOn w:val="a"/>
    <w:uiPriority w:val="99"/>
    <w:unhideWhenUsed/>
    <w:rsid w:val="003A363B"/>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3A36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Balloon Text"/>
    <w:basedOn w:val="a"/>
    <w:link w:val="Char1"/>
    <w:uiPriority w:val="99"/>
    <w:semiHidden/>
    <w:unhideWhenUsed/>
    <w:rsid w:val="00F95B98"/>
    <w:rPr>
      <w:sz w:val="18"/>
      <w:szCs w:val="18"/>
    </w:rPr>
  </w:style>
  <w:style w:type="character" w:customStyle="1" w:styleId="Char1">
    <w:name w:val="批注框文本 Char"/>
    <w:basedOn w:val="a0"/>
    <w:link w:val="a5"/>
    <w:uiPriority w:val="99"/>
    <w:semiHidden/>
    <w:rsid w:val="00F95B98"/>
    <w:rPr>
      <w:rFonts w:ascii="Times New Roman" w:eastAsia="宋体" w:hAnsi="Times New Roman" w:cs="Times New Roman"/>
      <w:sz w:val="18"/>
      <w:szCs w:val="18"/>
    </w:rPr>
  </w:style>
  <w:style w:type="paragraph" w:styleId="a6">
    <w:name w:val="Date"/>
    <w:basedOn w:val="a"/>
    <w:next w:val="a"/>
    <w:link w:val="Char2"/>
    <w:uiPriority w:val="99"/>
    <w:semiHidden/>
    <w:unhideWhenUsed/>
    <w:rsid w:val="003A363B"/>
    <w:pPr>
      <w:ind w:leftChars="2500" w:left="100"/>
    </w:pPr>
  </w:style>
  <w:style w:type="character" w:customStyle="1" w:styleId="Char2">
    <w:name w:val="日期 Char"/>
    <w:basedOn w:val="a0"/>
    <w:link w:val="a6"/>
    <w:uiPriority w:val="99"/>
    <w:semiHidden/>
    <w:rsid w:val="003A363B"/>
    <w:rPr>
      <w:rFonts w:ascii="Times New Roman" w:eastAsia="宋体" w:hAnsi="Times New Roman" w:cs="Times New Roman"/>
      <w:szCs w:val="24"/>
    </w:rPr>
  </w:style>
  <w:style w:type="paragraph" w:styleId="a7">
    <w:name w:val="Normal (Web)"/>
    <w:basedOn w:val="a"/>
    <w:uiPriority w:val="99"/>
    <w:unhideWhenUsed/>
    <w:rsid w:val="003A363B"/>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3A3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3269">
      <w:bodyDiv w:val="1"/>
      <w:marLeft w:val="0"/>
      <w:marRight w:val="0"/>
      <w:marTop w:val="0"/>
      <w:marBottom w:val="0"/>
      <w:divBdr>
        <w:top w:val="none" w:sz="0" w:space="0" w:color="auto"/>
        <w:left w:val="none" w:sz="0" w:space="0" w:color="auto"/>
        <w:bottom w:val="none" w:sz="0" w:space="0" w:color="auto"/>
        <w:right w:val="none" w:sz="0" w:space="0" w:color="auto"/>
      </w:divBdr>
    </w:div>
    <w:div w:id="404186881">
      <w:bodyDiv w:val="1"/>
      <w:marLeft w:val="0"/>
      <w:marRight w:val="0"/>
      <w:marTop w:val="0"/>
      <w:marBottom w:val="0"/>
      <w:divBdr>
        <w:top w:val="none" w:sz="0" w:space="0" w:color="auto"/>
        <w:left w:val="none" w:sz="0" w:space="0" w:color="auto"/>
        <w:bottom w:val="none" w:sz="0" w:space="0" w:color="auto"/>
        <w:right w:val="none" w:sz="0" w:space="0" w:color="auto"/>
      </w:divBdr>
    </w:div>
    <w:div w:id="1092314851">
      <w:bodyDiv w:val="1"/>
      <w:marLeft w:val="0"/>
      <w:marRight w:val="0"/>
      <w:marTop w:val="0"/>
      <w:marBottom w:val="0"/>
      <w:divBdr>
        <w:top w:val="none" w:sz="0" w:space="0" w:color="auto"/>
        <w:left w:val="none" w:sz="0" w:space="0" w:color="auto"/>
        <w:bottom w:val="none" w:sz="0" w:space="0" w:color="auto"/>
        <w:right w:val="none" w:sz="0" w:space="0" w:color="auto"/>
      </w:divBdr>
    </w:div>
    <w:div w:id="11603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641</Words>
  <Characters>3659</Characters>
  <Application>Microsoft Office Word</Application>
  <DocSecurity>0</DocSecurity>
  <Lines>30</Lines>
  <Paragraphs>8</Paragraphs>
  <ScaleCrop>false</ScaleCrop>
  <Company>Microsoft</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Microsoft</cp:lastModifiedBy>
  <cp:revision>6</cp:revision>
  <cp:lastPrinted>2019-10-24T00:40:00Z</cp:lastPrinted>
  <dcterms:created xsi:type="dcterms:W3CDTF">2019-10-24T07:36:00Z</dcterms:created>
  <dcterms:modified xsi:type="dcterms:W3CDTF">2019-10-25T06:22:00Z</dcterms:modified>
</cp:coreProperties>
</file>